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27CD" w14:textId="1056836F" w:rsidR="00485CA4" w:rsidRPr="00533D8D" w:rsidRDefault="00485CA4" w:rsidP="00A32F71">
      <w:pPr>
        <w:pStyle w:val="Heading1"/>
        <w:rPr>
          <w:b/>
          <w:bCs/>
          <w:color w:val="BE830E"/>
        </w:rPr>
      </w:pPr>
      <w:r w:rsidRPr="00533D8D">
        <w:rPr>
          <w:b/>
          <w:bCs/>
          <w:color w:val="BE830E"/>
        </w:rPr>
        <w:t>Introduction</w:t>
      </w:r>
    </w:p>
    <w:p w14:paraId="62209E2B" w14:textId="3E6FDAED" w:rsidR="002A127E" w:rsidRPr="002A127E" w:rsidRDefault="002A127E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Comcare advise Commonwealth PCBUs</w:t>
      </w:r>
      <w:r w:rsidR="0004104A">
        <w:rPr>
          <w:rStyle w:val="FootnoteReference"/>
          <w:rFonts w:ascii="Public Sans" w:hAnsi="Public Sans"/>
          <w:sz w:val="20"/>
          <w:szCs w:val="20"/>
        </w:rPr>
        <w:footnoteReference w:id="1"/>
      </w:r>
      <w:r w:rsidRPr="002A127E">
        <w:rPr>
          <w:rFonts w:ascii="Public Sans" w:hAnsi="Public Sans"/>
          <w:sz w:val="20"/>
          <w:szCs w:val="20"/>
        </w:rPr>
        <w:t xml:space="preserve"> (</w:t>
      </w:r>
      <w:r w:rsidR="00640D8F">
        <w:rPr>
          <w:rFonts w:ascii="Public Sans" w:hAnsi="Public Sans"/>
          <w:sz w:val="20"/>
          <w:szCs w:val="20"/>
        </w:rPr>
        <w:t>the University</w:t>
      </w:r>
      <w:r w:rsidRPr="002A127E">
        <w:rPr>
          <w:rFonts w:ascii="Public Sans" w:hAnsi="Public Sans"/>
          <w:sz w:val="20"/>
          <w:szCs w:val="20"/>
        </w:rPr>
        <w:t xml:space="preserve">) </w:t>
      </w:r>
      <w:r>
        <w:rPr>
          <w:rFonts w:ascii="Public Sans" w:hAnsi="Public Sans"/>
          <w:i/>
          <w:sz w:val="20"/>
          <w:szCs w:val="20"/>
        </w:rPr>
        <w:t>to ensure a</w:t>
      </w:r>
      <w:r w:rsidRPr="002A127E">
        <w:rPr>
          <w:rFonts w:ascii="Public Sans" w:hAnsi="Public Sans"/>
          <w:i/>
          <w:sz w:val="20"/>
          <w:szCs w:val="20"/>
        </w:rPr>
        <w:t xml:space="preserve"> contractor has the specifie</w:t>
      </w:r>
      <w:r>
        <w:rPr>
          <w:rFonts w:ascii="Public Sans" w:hAnsi="Public Sans"/>
          <w:i/>
          <w:sz w:val="20"/>
          <w:szCs w:val="20"/>
        </w:rPr>
        <w:t xml:space="preserve">d knowledge it claims to have, </w:t>
      </w:r>
      <w:r w:rsidRPr="002A127E">
        <w:rPr>
          <w:rFonts w:ascii="Public Sans" w:hAnsi="Public Sans"/>
          <w:i/>
          <w:sz w:val="20"/>
          <w:szCs w:val="20"/>
        </w:rPr>
        <w:t xml:space="preserve">they have appropriate safety systems in place and that, so far as it is possible, to test the contractor is complying with their </w:t>
      </w:r>
      <w:r>
        <w:rPr>
          <w:rFonts w:ascii="Public Sans" w:hAnsi="Public Sans"/>
          <w:i/>
          <w:sz w:val="20"/>
          <w:szCs w:val="20"/>
        </w:rPr>
        <w:t xml:space="preserve">safety </w:t>
      </w:r>
      <w:r w:rsidRPr="002A127E">
        <w:rPr>
          <w:rFonts w:ascii="Public Sans" w:hAnsi="Public Sans"/>
          <w:i/>
          <w:sz w:val="20"/>
          <w:szCs w:val="20"/>
        </w:rPr>
        <w:t xml:space="preserve">systems </w:t>
      </w:r>
      <w:r>
        <w:rPr>
          <w:rFonts w:ascii="Public Sans" w:hAnsi="Public Sans"/>
          <w:i/>
          <w:sz w:val="20"/>
          <w:szCs w:val="20"/>
        </w:rPr>
        <w:t xml:space="preserve">(for example </w:t>
      </w:r>
      <w:r w:rsidRPr="002A127E">
        <w:rPr>
          <w:rFonts w:ascii="Public Sans" w:hAnsi="Public Sans"/>
          <w:i/>
          <w:sz w:val="20"/>
          <w:szCs w:val="20"/>
        </w:rPr>
        <w:t xml:space="preserve">some sort of monitoring </w:t>
      </w:r>
      <w:r>
        <w:rPr>
          <w:rFonts w:ascii="Public Sans" w:hAnsi="Public Sans"/>
          <w:i/>
          <w:sz w:val="20"/>
          <w:szCs w:val="20"/>
        </w:rPr>
        <w:t>or verification process via the PCBU’</w:t>
      </w:r>
      <w:r w:rsidR="00A75FE0">
        <w:rPr>
          <w:rFonts w:ascii="Public Sans" w:hAnsi="Public Sans"/>
          <w:i/>
          <w:sz w:val="20"/>
          <w:szCs w:val="20"/>
        </w:rPr>
        <w:t xml:space="preserve">s </w:t>
      </w:r>
      <w:r w:rsidRPr="002A127E">
        <w:rPr>
          <w:rFonts w:ascii="Public Sans" w:hAnsi="Public Sans"/>
          <w:i/>
          <w:sz w:val="20"/>
          <w:szCs w:val="20"/>
        </w:rPr>
        <w:t>own contractor management system)</w:t>
      </w:r>
      <w:r>
        <w:rPr>
          <w:rFonts w:ascii="Public Sans" w:hAnsi="Public Sans"/>
          <w:i/>
          <w:sz w:val="20"/>
          <w:szCs w:val="20"/>
        </w:rPr>
        <w:t>.</w:t>
      </w:r>
    </w:p>
    <w:p w14:paraId="40BCAB0E" w14:textId="25226F5D" w:rsidR="002A127E" w:rsidRDefault="002A127E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following information provides </w:t>
      </w:r>
      <w:r w:rsidR="008D0DD1">
        <w:rPr>
          <w:rFonts w:ascii="Public Sans" w:hAnsi="Public Sans"/>
          <w:sz w:val="20"/>
          <w:szCs w:val="20"/>
        </w:rPr>
        <w:t xml:space="preserve">general </w:t>
      </w:r>
      <w:r>
        <w:rPr>
          <w:rFonts w:ascii="Public Sans" w:hAnsi="Public Sans"/>
          <w:sz w:val="20"/>
          <w:szCs w:val="20"/>
        </w:rPr>
        <w:t xml:space="preserve">guidance on how to </w:t>
      </w:r>
      <w:hyperlink w:anchor="_Verifying_a_contractor’s" w:history="1">
        <w:r w:rsidRPr="00FE53C5">
          <w:rPr>
            <w:rStyle w:val="Hyperlink"/>
            <w:rFonts w:ascii="Public Sans" w:hAnsi="Public Sans"/>
            <w:sz w:val="20"/>
            <w:szCs w:val="20"/>
          </w:rPr>
          <w:t>verify</w:t>
        </w:r>
      </w:hyperlink>
      <w:r>
        <w:rPr>
          <w:rFonts w:ascii="Public Sans" w:hAnsi="Public Sans"/>
          <w:sz w:val="20"/>
          <w:szCs w:val="20"/>
        </w:rPr>
        <w:t xml:space="preserve"> a </w:t>
      </w:r>
      <w:r w:rsidR="0081303C">
        <w:rPr>
          <w:rFonts w:ascii="Public Sans" w:hAnsi="Public Sans"/>
          <w:sz w:val="20"/>
          <w:szCs w:val="20"/>
        </w:rPr>
        <w:t>goods and services</w:t>
      </w:r>
      <w:r w:rsidR="00C9555F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 xml:space="preserve">contractor’s </w:t>
      </w:r>
      <w:r w:rsidR="00B34962">
        <w:rPr>
          <w:rFonts w:ascii="Public Sans" w:hAnsi="Public Sans"/>
          <w:sz w:val="20"/>
          <w:szCs w:val="20"/>
        </w:rPr>
        <w:t xml:space="preserve">(Contractor) </w:t>
      </w:r>
      <w:r w:rsidR="0069089F">
        <w:rPr>
          <w:rFonts w:ascii="Public Sans" w:hAnsi="Public Sans"/>
          <w:sz w:val="20"/>
          <w:szCs w:val="20"/>
        </w:rPr>
        <w:t xml:space="preserve">work, health and </w:t>
      </w:r>
      <w:r>
        <w:rPr>
          <w:rFonts w:ascii="Public Sans" w:hAnsi="Public Sans"/>
          <w:sz w:val="20"/>
          <w:szCs w:val="20"/>
        </w:rPr>
        <w:t>safety management system (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>)</w:t>
      </w:r>
      <w:r w:rsidR="00C9555F">
        <w:rPr>
          <w:rFonts w:ascii="Public Sans" w:hAnsi="Public Sans"/>
          <w:sz w:val="20"/>
          <w:szCs w:val="20"/>
        </w:rPr>
        <w:t xml:space="preserve"> and </w:t>
      </w:r>
      <w:hyperlink w:anchor="_Managing_a_contractor’s" w:history="1">
        <w:r w:rsidR="00C9555F" w:rsidRPr="00717020">
          <w:rPr>
            <w:rStyle w:val="Hyperlink"/>
            <w:rFonts w:ascii="Public Sans" w:hAnsi="Public Sans"/>
            <w:sz w:val="20"/>
            <w:szCs w:val="20"/>
          </w:rPr>
          <w:t>manage</w:t>
        </w:r>
      </w:hyperlink>
      <w:r w:rsidR="00C9555F">
        <w:rPr>
          <w:rFonts w:ascii="Public Sans" w:hAnsi="Public Sans"/>
          <w:sz w:val="20"/>
          <w:szCs w:val="20"/>
        </w:rPr>
        <w:t xml:space="preserve"> the </w:t>
      </w:r>
      <w:r w:rsidR="0081303C">
        <w:rPr>
          <w:rFonts w:ascii="Public Sans" w:hAnsi="Public Sans"/>
          <w:sz w:val="20"/>
          <w:szCs w:val="20"/>
        </w:rPr>
        <w:t>C</w:t>
      </w:r>
      <w:r w:rsidR="00C9555F">
        <w:rPr>
          <w:rFonts w:ascii="Public Sans" w:hAnsi="Public Sans"/>
          <w:sz w:val="20"/>
          <w:szCs w:val="20"/>
        </w:rPr>
        <w:t>ontractor’s safety performance</w:t>
      </w:r>
      <w:r>
        <w:rPr>
          <w:rFonts w:ascii="Public Sans" w:hAnsi="Public Sans"/>
          <w:sz w:val="20"/>
          <w:szCs w:val="20"/>
        </w:rPr>
        <w:t xml:space="preserve">. In general terms, a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 xml:space="preserve"> must comply with requirements similar to those prescribed by Chapter 3</w:t>
      </w:r>
      <w:r w:rsidR="009376A9">
        <w:rPr>
          <w:rFonts w:ascii="Public Sans" w:hAnsi="Public Sans"/>
          <w:sz w:val="20"/>
          <w:szCs w:val="20"/>
        </w:rPr>
        <w:t>, 4 and 5</w:t>
      </w:r>
      <w:r>
        <w:rPr>
          <w:rFonts w:ascii="Public Sans" w:hAnsi="Public Sans"/>
          <w:sz w:val="20"/>
          <w:szCs w:val="20"/>
        </w:rPr>
        <w:t xml:space="preserve"> of the </w:t>
      </w:r>
      <w:hyperlink r:id="rId11" w:history="1">
        <w:r w:rsidR="007A132E" w:rsidRPr="007A132E">
          <w:rPr>
            <w:rStyle w:val="Hyperlink"/>
            <w:rFonts w:ascii="Public Sans" w:hAnsi="Public Sans"/>
            <w:i/>
            <w:sz w:val="20"/>
            <w:szCs w:val="20"/>
          </w:rPr>
          <w:t>Work Health and Safety Regulations</w:t>
        </w:r>
        <w:r w:rsidRPr="007A132E">
          <w:rPr>
            <w:rStyle w:val="Hyperlink"/>
            <w:rFonts w:ascii="Public Sans" w:hAnsi="Public Sans"/>
            <w:i/>
            <w:sz w:val="20"/>
            <w:szCs w:val="20"/>
          </w:rPr>
          <w:t xml:space="preserve"> 2011</w:t>
        </w:r>
        <w:r w:rsidRPr="007A132E">
          <w:rPr>
            <w:rStyle w:val="Hyperlink"/>
            <w:rFonts w:ascii="Public Sans" w:hAnsi="Public Sans"/>
            <w:sz w:val="20"/>
            <w:szCs w:val="20"/>
          </w:rPr>
          <w:t xml:space="preserve"> (</w:t>
        </w:r>
      </w:hyperlink>
      <w:r>
        <w:rPr>
          <w:rFonts w:ascii="Public Sans" w:hAnsi="Public Sans"/>
          <w:sz w:val="20"/>
          <w:szCs w:val="20"/>
        </w:rPr>
        <w:t>Cth)</w:t>
      </w:r>
      <w:r w:rsidR="00A75FE0">
        <w:rPr>
          <w:rFonts w:ascii="Public Sans" w:hAnsi="Public Sans"/>
          <w:sz w:val="20"/>
          <w:szCs w:val="20"/>
        </w:rPr>
        <w:t xml:space="preserve"> </w:t>
      </w:r>
      <w:r w:rsidR="007A132E">
        <w:rPr>
          <w:rFonts w:ascii="Public Sans" w:hAnsi="Public Sans"/>
          <w:sz w:val="20"/>
          <w:szCs w:val="20"/>
        </w:rPr>
        <w:t>(the Regulations</w:t>
      </w:r>
      <w:r w:rsidR="00A75FE0">
        <w:rPr>
          <w:rFonts w:ascii="Public Sans" w:hAnsi="Public Sans"/>
          <w:sz w:val="20"/>
          <w:szCs w:val="20"/>
        </w:rPr>
        <w:t>)</w:t>
      </w:r>
      <w:r>
        <w:rPr>
          <w:rFonts w:ascii="Public Sans" w:hAnsi="Public Sans"/>
          <w:sz w:val="20"/>
          <w:szCs w:val="20"/>
        </w:rPr>
        <w:t xml:space="preserve">, but as applicable to the WHS regulations for the State/Territory in which the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operates</w:t>
      </w:r>
      <w:r w:rsidR="00774DD8">
        <w:rPr>
          <w:rFonts w:ascii="Public Sans" w:hAnsi="Public Sans"/>
          <w:sz w:val="20"/>
          <w:szCs w:val="20"/>
        </w:rPr>
        <w:t>, in relation to the work being undertaken</w:t>
      </w:r>
      <w:r>
        <w:rPr>
          <w:rFonts w:ascii="Public Sans" w:hAnsi="Public Sans"/>
          <w:sz w:val="20"/>
          <w:szCs w:val="20"/>
        </w:rPr>
        <w:t>.</w:t>
      </w:r>
    </w:p>
    <w:p w14:paraId="7912DD42" w14:textId="6E931160" w:rsidR="00C0762A" w:rsidRDefault="001D420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</w:t>
      </w:r>
      <w:r w:rsidR="00C9555F">
        <w:rPr>
          <w:rFonts w:ascii="Public Sans" w:hAnsi="Public Sans"/>
          <w:sz w:val="20"/>
          <w:szCs w:val="20"/>
        </w:rPr>
        <w:t>ontractors</w:t>
      </w:r>
      <w:r w:rsidR="00756DAE">
        <w:rPr>
          <w:rFonts w:ascii="Public Sans" w:hAnsi="Public Sans"/>
          <w:sz w:val="20"/>
          <w:szCs w:val="20"/>
        </w:rPr>
        <w:t xml:space="preserve"> have additional </w:t>
      </w:r>
      <w:r w:rsidR="000F0222">
        <w:rPr>
          <w:rFonts w:ascii="Public Sans" w:hAnsi="Public Sans"/>
          <w:sz w:val="20"/>
          <w:szCs w:val="20"/>
        </w:rPr>
        <w:t xml:space="preserve">WHS duties under applicable regulations for </w:t>
      </w:r>
      <w:r w:rsidR="00867369">
        <w:rPr>
          <w:rFonts w:ascii="Public Sans" w:hAnsi="Public Sans"/>
          <w:sz w:val="20"/>
          <w:szCs w:val="20"/>
        </w:rPr>
        <w:t xml:space="preserve">hazardous </w:t>
      </w:r>
      <w:r w:rsidR="000F0222">
        <w:rPr>
          <w:rFonts w:ascii="Public Sans" w:hAnsi="Public Sans"/>
          <w:sz w:val="20"/>
          <w:szCs w:val="20"/>
        </w:rPr>
        <w:t>work</w:t>
      </w:r>
      <w:r w:rsidR="00867369">
        <w:rPr>
          <w:rFonts w:ascii="Public Sans" w:hAnsi="Public Sans"/>
          <w:sz w:val="20"/>
          <w:szCs w:val="20"/>
        </w:rPr>
        <w:t xml:space="preserve"> and </w:t>
      </w:r>
      <w:proofErr w:type="gramStart"/>
      <w:r w:rsidR="000F0222">
        <w:rPr>
          <w:rFonts w:ascii="Public Sans" w:hAnsi="Public Sans"/>
          <w:sz w:val="20"/>
          <w:szCs w:val="20"/>
        </w:rPr>
        <w:t>high risk</w:t>
      </w:r>
      <w:proofErr w:type="gramEnd"/>
      <w:r w:rsidR="000F0222">
        <w:rPr>
          <w:rFonts w:ascii="Public Sans" w:hAnsi="Public Sans"/>
          <w:sz w:val="20"/>
          <w:szCs w:val="20"/>
        </w:rPr>
        <w:t xml:space="preserve"> work </w:t>
      </w:r>
      <w:r w:rsidR="000C7141">
        <w:rPr>
          <w:rFonts w:ascii="Public Sans" w:hAnsi="Public Sans"/>
          <w:sz w:val="20"/>
          <w:szCs w:val="20"/>
        </w:rPr>
        <w:t xml:space="preserve">(see </w:t>
      </w:r>
      <w:r>
        <w:rPr>
          <w:rFonts w:ascii="Public Sans" w:hAnsi="Public Sans"/>
          <w:sz w:val="20"/>
          <w:szCs w:val="20"/>
        </w:rPr>
        <w:t xml:space="preserve">Chapter </w:t>
      </w:r>
      <w:r w:rsidR="00C32C25">
        <w:rPr>
          <w:rFonts w:ascii="Public Sans" w:hAnsi="Public Sans"/>
          <w:sz w:val="20"/>
          <w:szCs w:val="20"/>
        </w:rPr>
        <w:t>4 and Schedule 3</w:t>
      </w:r>
      <w:r>
        <w:rPr>
          <w:rFonts w:ascii="Public Sans" w:hAnsi="Public Sans"/>
          <w:sz w:val="20"/>
          <w:szCs w:val="20"/>
        </w:rPr>
        <w:t xml:space="preserve"> </w:t>
      </w:r>
      <w:r w:rsidR="00B2285B">
        <w:rPr>
          <w:rFonts w:ascii="Public Sans" w:hAnsi="Public Sans"/>
          <w:sz w:val="20"/>
          <w:szCs w:val="20"/>
        </w:rPr>
        <w:t>of the Regulations as a guide)</w:t>
      </w:r>
      <w:r w:rsidR="00CF11B0">
        <w:rPr>
          <w:rFonts w:ascii="Public Sans" w:hAnsi="Public Sans"/>
          <w:sz w:val="20"/>
          <w:szCs w:val="20"/>
        </w:rPr>
        <w:t>.</w:t>
      </w:r>
      <w:r w:rsidR="00B2285B">
        <w:rPr>
          <w:rFonts w:ascii="Public Sans" w:hAnsi="Public Sans"/>
          <w:sz w:val="20"/>
          <w:szCs w:val="20"/>
        </w:rPr>
        <w:t xml:space="preserve"> </w:t>
      </w:r>
      <w:r w:rsidR="00933EE6">
        <w:rPr>
          <w:rFonts w:ascii="Public Sans" w:hAnsi="Public Sans"/>
          <w:sz w:val="20"/>
          <w:szCs w:val="20"/>
        </w:rPr>
        <w:t>Additional regulatory obligations also apply to work involving hazardous che</w:t>
      </w:r>
      <w:r w:rsidR="007C0109">
        <w:rPr>
          <w:rFonts w:ascii="Public Sans" w:hAnsi="Public Sans"/>
          <w:sz w:val="20"/>
          <w:szCs w:val="20"/>
        </w:rPr>
        <w:t>micals</w:t>
      </w:r>
      <w:r w:rsidR="003A589C">
        <w:rPr>
          <w:rFonts w:ascii="Public Sans" w:hAnsi="Public Sans"/>
          <w:sz w:val="20"/>
          <w:szCs w:val="20"/>
        </w:rPr>
        <w:t xml:space="preserve">, </w:t>
      </w:r>
      <w:r w:rsidR="007C0109">
        <w:rPr>
          <w:rFonts w:ascii="Public Sans" w:hAnsi="Public Sans"/>
          <w:sz w:val="20"/>
          <w:szCs w:val="20"/>
        </w:rPr>
        <w:t>asbestos</w:t>
      </w:r>
      <w:r w:rsidR="003A589C">
        <w:rPr>
          <w:rFonts w:ascii="Public Sans" w:hAnsi="Public Sans"/>
          <w:sz w:val="20"/>
          <w:szCs w:val="20"/>
        </w:rPr>
        <w:t xml:space="preserve"> and silica</w:t>
      </w:r>
      <w:r w:rsidR="003B6203">
        <w:rPr>
          <w:rFonts w:ascii="Public Sans" w:hAnsi="Public Sans"/>
          <w:sz w:val="20"/>
          <w:szCs w:val="20"/>
        </w:rPr>
        <w:t>.</w:t>
      </w:r>
      <w:r w:rsidR="007C0109">
        <w:rPr>
          <w:rFonts w:ascii="Public Sans" w:hAnsi="Public Sans"/>
          <w:sz w:val="20"/>
          <w:szCs w:val="20"/>
        </w:rPr>
        <w:t xml:space="preserve"> </w:t>
      </w:r>
    </w:p>
    <w:p w14:paraId="67D37C29" w14:textId="35463C99" w:rsidR="009922CB" w:rsidRDefault="000D1546" w:rsidP="00CC3480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While </w:t>
      </w:r>
      <w:r w:rsidR="00501EDB">
        <w:rPr>
          <w:rFonts w:ascii="Public Sans" w:hAnsi="Public Sans"/>
          <w:sz w:val="20"/>
          <w:szCs w:val="20"/>
        </w:rPr>
        <w:t>e</w:t>
      </w:r>
      <w:r w:rsidR="00104C47">
        <w:rPr>
          <w:rFonts w:ascii="Public Sans" w:hAnsi="Public Sans"/>
          <w:sz w:val="20"/>
          <w:szCs w:val="20"/>
        </w:rPr>
        <w:t xml:space="preserve">ach area of the University retains the flexibility to adapt its contractor engagement practices to </w:t>
      </w:r>
      <w:r w:rsidR="00501EDB">
        <w:rPr>
          <w:rFonts w:ascii="Public Sans" w:hAnsi="Public Sans"/>
          <w:sz w:val="20"/>
          <w:szCs w:val="20"/>
        </w:rPr>
        <w:t xml:space="preserve">align to </w:t>
      </w:r>
      <w:r w:rsidR="00104C47">
        <w:rPr>
          <w:rFonts w:ascii="Public Sans" w:hAnsi="Public Sans"/>
          <w:sz w:val="20"/>
          <w:szCs w:val="20"/>
        </w:rPr>
        <w:t xml:space="preserve">the </w:t>
      </w:r>
      <w:r w:rsidR="00444107">
        <w:rPr>
          <w:rFonts w:ascii="Public Sans" w:hAnsi="Public Sans"/>
          <w:sz w:val="20"/>
          <w:szCs w:val="20"/>
        </w:rPr>
        <w:t xml:space="preserve">general </w:t>
      </w:r>
      <w:r w:rsidR="00501EDB">
        <w:rPr>
          <w:rFonts w:ascii="Public Sans" w:hAnsi="Public Sans"/>
          <w:sz w:val="20"/>
          <w:szCs w:val="20"/>
        </w:rPr>
        <w:t>principles</w:t>
      </w:r>
      <w:r w:rsidR="00444107">
        <w:rPr>
          <w:rFonts w:ascii="Public Sans" w:hAnsi="Public Sans"/>
          <w:sz w:val="20"/>
          <w:szCs w:val="20"/>
        </w:rPr>
        <w:t xml:space="preserve"> outlined in the WHSMS Handbook Chapter 3.6 – Contractor Safety </w:t>
      </w:r>
      <w:r w:rsidR="00662B30">
        <w:rPr>
          <w:rFonts w:ascii="Public Sans" w:hAnsi="Public Sans"/>
          <w:sz w:val="20"/>
          <w:szCs w:val="20"/>
        </w:rPr>
        <w:t>Engagement</w:t>
      </w:r>
      <w:r w:rsidR="00444107">
        <w:rPr>
          <w:rFonts w:ascii="Public Sans" w:hAnsi="Public Sans"/>
          <w:sz w:val="20"/>
          <w:szCs w:val="20"/>
        </w:rPr>
        <w:t xml:space="preserve">, </w:t>
      </w:r>
      <w:r w:rsidR="00CF445D">
        <w:rPr>
          <w:rFonts w:ascii="Public Sans" w:hAnsi="Public Sans"/>
          <w:sz w:val="20"/>
          <w:szCs w:val="20"/>
        </w:rPr>
        <w:t xml:space="preserve">each area </w:t>
      </w:r>
      <w:r w:rsidR="00104C47">
        <w:rPr>
          <w:rFonts w:ascii="Public Sans" w:hAnsi="Public Sans"/>
          <w:sz w:val="20"/>
          <w:szCs w:val="20"/>
        </w:rPr>
        <w:t>must ensure verification activities and evidence</w:t>
      </w:r>
      <w:r w:rsidR="00CF445D">
        <w:rPr>
          <w:rFonts w:ascii="Public Sans" w:hAnsi="Public Sans"/>
          <w:sz w:val="20"/>
          <w:szCs w:val="20"/>
        </w:rPr>
        <w:t xml:space="preserve"> are</w:t>
      </w:r>
      <w:r w:rsidR="00104C47" w:rsidRPr="003C3661">
        <w:rPr>
          <w:rFonts w:ascii="Public Sans" w:hAnsi="Public Sans"/>
          <w:sz w:val="20"/>
          <w:szCs w:val="20"/>
        </w:rPr>
        <w:t xml:space="preserve"> documented and retained for future reference.</w:t>
      </w:r>
    </w:p>
    <w:p w14:paraId="0147A953" w14:textId="77777777" w:rsidR="00CC3480" w:rsidRDefault="00CC3480" w:rsidP="00CC3480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6AC0F57" w14:textId="77777777" w:rsidR="00052E5A" w:rsidRDefault="00052E5A" w:rsidP="00052E5A">
      <w:pPr>
        <w:spacing w:after="0" w:line="240" w:lineRule="auto"/>
        <w:rPr>
          <w:rFonts w:ascii="Public Sans" w:hAnsi="Public Sans"/>
          <w:sz w:val="20"/>
          <w:szCs w:val="20"/>
        </w:rPr>
      </w:pPr>
      <w:bookmarkStart w:id="0" w:name="_Verifying_a_contractor’s"/>
      <w:bookmarkEnd w:id="0"/>
      <w:r>
        <w:rPr>
          <w:rFonts w:ascii="Public Sans" w:hAnsi="Public Sans"/>
          <w:sz w:val="20"/>
          <w:szCs w:val="20"/>
        </w:rPr>
        <w:t>It is important to note:</w:t>
      </w:r>
    </w:p>
    <w:p w14:paraId="41D58713" w14:textId="77777777" w:rsidR="00052E5A" w:rsidRDefault="00052E5A" w:rsidP="00B10B24">
      <w:pPr>
        <w:pStyle w:val="ListParagraph"/>
        <w:numPr>
          <w:ilvl w:val="0"/>
          <w:numId w:val="17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562245">
        <w:rPr>
          <w:rFonts w:ascii="Public Sans" w:hAnsi="Public Sans"/>
          <w:sz w:val="20"/>
          <w:szCs w:val="20"/>
        </w:rPr>
        <w:t xml:space="preserve">the University (through the responsible person) must </w:t>
      </w:r>
      <w:r w:rsidRPr="00562245">
        <w:rPr>
          <w:rFonts w:ascii="Public Sans" w:hAnsi="Public Sans"/>
          <w:b/>
          <w:bCs/>
          <w:sz w:val="20"/>
          <w:szCs w:val="20"/>
        </w:rPr>
        <w:t>not</w:t>
      </w:r>
      <w:r w:rsidRPr="00562245">
        <w:rPr>
          <w:rFonts w:ascii="Public Sans" w:hAnsi="Public Sans"/>
          <w:sz w:val="20"/>
          <w:szCs w:val="20"/>
        </w:rPr>
        <w:t xml:space="preserve"> provide direct technical advice on the structure and/or content of a Contractor’s WHSMS. The onus is on the Contractor, as a PCBU, to ensure their WHSMS is fit for purpose, addresses the criteria outlined in this guidance information and is compliant with their State/Territory WHS legislation, applicable to the </w:t>
      </w:r>
      <w:r>
        <w:rPr>
          <w:rFonts w:ascii="Public Sans" w:hAnsi="Public Sans"/>
          <w:sz w:val="20"/>
          <w:szCs w:val="20"/>
        </w:rPr>
        <w:t xml:space="preserve">work being undertaken for, and on behalf of, the University (the </w:t>
      </w:r>
      <w:r w:rsidRPr="00562245">
        <w:rPr>
          <w:rFonts w:ascii="Public Sans" w:hAnsi="Public Sans"/>
          <w:sz w:val="20"/>
          <w:szCs w:val="20"/>
        </w:rPr>
        <w:t>Work</w:t>
      </w:r>
      <w:r>
        <w:rPr>
          <w:rFonts w:ascii="Public Sans" w:hAnsi="Public Sans"/>
          <w:sz w:val="20"/>
          <w:szCs w:val="20"/>
        </w:rPr>
        <w:t>)</w:t>
      </w:r>
      <w:r w:rsidRPr="00562245">
        <w:rPr>
          <w:rFonts w:ascii="Public Sans" w:hAnsi="Public Sans"/>
          <w:sz w:val="20"/>
          <w:szCs w:val="20"/>
        </w:rPr>
        <w:t xml:space="preserve">. </w:t>
      </w:r>
    </w:p>
    <w:p w14:paraId="37ABB127" w14:textId="77777777" w:rsidR="00052E5A" w:rsidRPr="00E31884" w:rsidRDefault="00052E5A" w:rsidP="00B10B24">
      <w:pPr>
        <w:pStyle w:val="ListParagraph"/>
        <w:numPr>
          <w:ilvl w:val="0"/>
          <w:numId w:val="17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 there is any uncertainty about the type of Work the Contractor is engaged to undertake, contact </w:t>
      </w:r>
      <w:hyperlink r:id="rId12" w:history="1">
        <w:r w:rsidRPr="00386B1B">
          <w:rPr>
            <w:rStyle w:val="Hyperlink"/>
            <w:rFonts w:ascii="Public Sans" w:hAnsi="Public Sans"/>
            <w:sz w:val="20"/>
            <w:szCs w:val="20"/>
          </w:rPr>
          <w:t>whs@anu.edu.au</w:t>
        </w:r>
      </w:hyperlink>
      <w:r>
        <w:rPr>
          <w:rFonts w:ascii="Public Sans" w:hAnsi="Public Sans"/>
          <w:sz w:val="20"/>
          <w:szCs w:val="20"/>
        </w:rPr>
        <w:t xml:space="preserve"> for advice and assistance. </w:t>
      </w:r>
    </w:p>
    <w:p w14:paraId="35E7E0F9" w14:textId="5C4B0B32" w:rsidR="00C0762A" w:rsidRPr="002B7896" w:rsidRDefault="00C0762A" w:rsidP="002B7896">
      <w:pPr>
        <w:pStyle w:val="Heading1"/>
        <w:rPr>
          <w:b/>
          <w:bCs/>
          <w:color w:val="BF8F00" w:themeColor="accent4" w:themeShade="BF"/>
        </w:rPr>
      </w:pPr>
      <w:r w:rsidRPr="002B7896">
        <w:rPr>
          <w:b/>
          <w:bCs/>
          <w:color w:val="BF8F00" w:themeColor="accent4" w:themeShade="BF"/>
        </w:rPr>
        <w:t xml:space="preserve">Verifying </w:t>
      </w:r>
      <w:r w:rsidR="00A05BE6" w:rsidRPr="002B7896">
        <w:rPr>
          <w:b/>
          <w:bCs/>
          <w:color w:val="BF8F00" w:themeColor="accent4" w:themeShade="BF"/>
        </w:rPr>
        <w:t xml:space="preserve">a contractor’s </w:t>
      </w:r>
      <w:r w:rsidR="007802C1">
        <w:rPr>
          <w:b/>
          <w:bCs/>
          <w:color w:val="BF8F00" w:themeColor="accent4" w:themeShade="BF"/>
        </w:rPr>
        <w:t>WHSMS</w:t>
      </w:r>
    </w:p>
    <w:p w14:paraId="1B86E5BE" w14:textId="3D1F3877" w:rsidR="0046105C" w:rsidRPr="002A127E" w:rsidRDefault="005939D4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The process of reviewing</w:t>
      </w:r>
      <w:r w:rsidR="0046105C" w:rsidRPr="002A127E">
        <w:rPr>
          <w:rFonts w:ascii="Public Sans" w:hAnsi="Public Sans"/>
          <w:sz w:val="20"/>
          <w:szCs w:val="20"/>
        </w:rPr>
        <w:t xml:space="preserve"> </w:t>
      </w:r>
      <w:r w:rsidR="003B6203">
        <w:rPr>
          <w:rFonts w:ascii="Public Sans" w:hAnsi="Public Sans"/>
          <w:sz w:val="20"/>
          <w:szCs w:val="20"/>
        </w:rPr>
        <w:t xml:space="preserve">and verifying </w:t>
      </w:r>
      <w:r w:rsidR="0046105C" w:rsidRPr="002A127E">
        <w:rPr>
          <w:rFonts w:ascii="Public Sans" w:hAnsi="Public Sans"/>
          <w:sz w:val="20"/>
          <w:szCs w:val="20"/>
        </w:rPr>
        <w:t xml:space="preserve">the </w:t>
      </w:r>
      <w:r w:rsidR="007802C1">
        <w:rPr>
          <w:rFonts w:ascii="Public Sans" w:hAnsi="Public Sans"/>
          <w:sz w:val="20"/>
          <w:szCs w:val="20"/>
        </w:rPr>
        <w:t>WHSMS</w:t>
      </w:r>
      <w:r w:rsidR="00FA551A" w:rsidRPr="002A127E">
        <w:rPr>
          <w:rFonts w:ascii="Public Sans" w:hAnsi="Public Sans"/>
          <w:sz w:val="20"/>
          <w:szCs w:val="20"/>
        </w:rPr>
        <w:t xml:space="preserve"> </w:t>
      </w:r>
      <w:r w:rsidR="008E3424" w:rsidRPr="002A127E">
        <w:rPr>
          <w:rFonts w:ascii="Public Sans" w:hAnsi="Public Sans"/>
          <w:sz w:val="20"/>
          <w:szCs w:val="20"/>
        </w:rPr>
        <w:t>evidence provided by a</w:t>
      </w:r>
      <w:r w:rsidR="006B48D8" w:rsidRPr="002A127E">
        <w:rPr>
          <w:rFonts w:ascii="Public Sans" w:hAnsi="Public Sans"/>
          <w:sz w:val="20"/>
          <w:szCs w:val="20"/>
        </w:rPr>
        <w:t xml:space="preserve"> </w:t>
      </w:r>
      <w:r w:rsidR="00C6766D">
        <w:rPr>
          <w:rFonts w:ascii="Public Sans" w:hAnsi="Public Sans"/>
          <w:sz w:val="20"/>
          <w:szCs w:val="20"/>
        </w:rPr>
        <w:t>C</w:t>
      </w:r>
      <w:r w:rsidR="0046105C" w:rsidRPr="002A127E">
        <w:rPr>
          <w:rFonts w:ascii="Public Sans" w:hAnsi="Public Sans"/>
          <w:sz w:val="20"/>
          <w:szCs w:val="20"/>
        </w:rPr>
        <w:t>ontractor is bas</w:t>
      </w:r>
      <w:r w:rsidR="00B63158" w:rsidRPr="002A127E">
        <w:rPr>
          <w:rFonts w:ascii="Public Sans" w:hAnsi="Public Sans"/>
          <w:sz w:val="20"/>
          <w:szCs w:val="20"/>
        </w:rPr>
        <w:t>ed on two (2) decision factors</w:t>
      </w:r>
      <w:r w:rsidR="00911B36">
        <w:rPr>
          <w:rFonts w:ascii="Public Sans" w:hAnsi="Public Sans"/>
          <w:sz w:val="20"/>
          <w:szCs w:val="20"/>
        </w:rPr>
        <w:t xml:space="preserve"> (see table be</w:t>
      </w:r>
      <w:r w:rsidR="0004340C">
        <w:rPr>
          <w:rFonts w:ascii="Public Sans" w:hAnsi="Public Sans"/>
          <w:sz w:val="20"/>
          <w:szCs w:val="20"/>
        </w:rPr>
        <w:t>l</w:t>
      </w:r>
      <w:r w:rsidR="00911B36">
        <w:rPr>
          <w:rFonts w:ascii="Public Sans" w:hAnsi="Public Sans"/>
          <w:sz w:val="20"/>
          <w:szCs w:val="20"/>
        </w:rPr>
        <w:t>ow for more information)</w:t>
      </w:r>
      <w:r w:rsidR="0046105C" w:rsidRPr="002A127E">
        <w:rPr>
          <w:rFonts w:ascii="Public Sans" w:hAnsi="Public Sans"/>
          <w:sz w:val="20"/>
          <w:szCs w:val="20"/>
        </w:rPr>
        <w:t>:</w:t>
      </w:r>
    </w:p>
    <w:p w14:paraId="21285FF9" w14:textId="2F8C024C" w:rsidR="0046105C" w:rsidRPr="002A127E" w:rsidRDefault="0046105C" w:rsidP="00B10B24">
      <w:pPr>
        <w:pStyle w:val="ListParagraph"/>
        <w:numPr>
          <w:ilvl w:val="0"/>
          <w:numId w:val="1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Fit for purpose: the evidence is a</w:t>
      </w:r>
      <w:r w:rsidR="00485CA4">
        <w:rPr>
          <w:rFonts w:ascii="Public Sans" w:hAnsi="Public Sans"/>
          <w:sz w:val="20"/>
          <w:szCs w:val="20"/>
        </w:rPr>
        <w:t xml:space="preserve">ppropriate for the </w:t>
      </w:r>
      <w:r w:rsidR="005956CF">
        <w:rPr>
          <w:rFonts w:ascii="Public Sans" w:hAnsi="Public Sans"/>
          <w:sz w:val="20"/>
          <w:szCs w:val="20"/>
        </w:rPr>
        <w:t>W</w:t>
      </w:r>
      <w:r w:rsidR="00485CA4">
        <w:rPr>
          <w:rFonts w:ascii="Public Sans" w:hAnsi="Public Sans"/>
          <w:sz w:val="20"/>
          <w:szCs w:val="20"/>
        </w:rPr>
        <w:t>ork</w:t>
      </w:r>
      <w:r w:rsidR="008E3424" w:rsidRPr="002A127E">
        <w:rPr>
          <w:rFonts w:ascii="Public Sans" w:hAnsi="Public Sans"/>
          <w:sz w:val="20"/>
          <w:szCs w:val="20"/>
        </w:rPr>
        <w:t>, and</w:t>
      </w:r>
    </w:p>
    <w:p w14:paraId="1BD22454" w14:textId="43B42942" w:rsidR="00BE5EAF" w:rsidRPr="00911B36" w:rsidRDefault="0046105C" w:rsidP="00B10B24">
      <w:pPr>
        <w:pStyle w:val="ListParagraph"/>
        <w:numPr>
          <w:ilvl w:val="0"/>
          <w:numId w:val="1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 xml:space="preserve">Deemed to satisfy: </w:t>
      </w:r>
      <w:r w:rsidR="00B268AD" w:rsidRPr="002A127E">
        <w:rPr>
          <w:rFonts w:ascii="Public Sans" w:hAnsi="Public Sans"/>
          <w:sz w:val="20"/>
          <w:szCs w:val="20"/>
        </w:rPr>
        <w:t xml:space="preserve">an overall assessment </w:t>
      </w:r>
      <w:r w:rsidRPr="002A127E">
        <w:rPr>
          <w:rFonts w:ascii="Public Sans" w:hAnsi="Public Sans"/>
          <w:sz w:val="20"/>
          <w:szCs w:val="20"/>
        </w:rPr>
        <w:t>the evidence is deemed to be sufficie</w:t>
      </w:r>
      <w:r w:rsidR="008E3424" w:rsidRPr="002A127E">
        <w:rPr>
          <w:rFonts w:ascii="Public Sans" w:hAnsi="Public Sans"/>
          <w:sz w:val="20"/>
          <w:szCs w:val="20"/>
        </w:rPr>
        <w:t xml:space="preserve">nt to assure </w:t>
      </w:r>
      <w:r w:rsidR="00640D8F">
        <w:rPr>
          <w:rFonts w:ascii="Public Sans" w:hAnsi="Public Sans"/>
          <w:sz w:val="20"/>
          <w:szCs w:val="20"/>
        </w:rPr>
        <w:t>the University</w:t>
      </w:r>
      <w:r w:rsidR="008E3424" w:rsidRPr="002A127E">
        <w:rPr>
          <w:rFonts w:ascii="Public Sans" w:hAnsi="Public Sans"/>
          <w:sz w:val="20"/>
          <w:szCs w:val="20"/>
        </w:rPr>
        <w:t xml:space="preserve"> </w:t>
      </w:r>
      <w:r w:rsidRPr="002A127E">
        <w:rPr>
          <w:rFonts w:ascii="Public Sans" w:hAnsi="Public Sans"/>
          <w:sz w:val="20"/>
          <w:szCs w:val="20"/>
        </w:rPr>
        <w:t xml:space="preserve">the </w:t>
      </w:r>
      <w:r w:rsidR="00640D8F">
        <w:rPr>
          <w:rFonts w:ascii="Public Sans" w:hAnsi="Public Sans"/>
          <w:sz w:val="20"/>
          <w:szCs w:val="20"/>
        </w:rPr>
        <w:t>C</w:t>
      </w:r>
      <w:r w:rsidRPr="002A127E">
        <w:rPr>
          <w:rFonts w:ascii="Public Sans" w:hAnsi="Public Sans"/>
          <w:sz w:val="20"/>
          <w:szCs w:val="20"/>
        </w:rPr>
        <w:t xml:space="preserve">ontractor has the capability and capacity to </w:t>
      </w:r>
      <w:r w:rsidR="00745B7A">
        <w:rPr>
          <w:rFonts w:ascii="Public Sans" w:hAnsi="Public Sans"/>
          <w:sz w:val="20"/>
          <w:szCs w:val="20"/>
        </w:rPr>
        <w:t>complete the W</w:t>
      </w:r>
      <w:r w:rsidRPr="002A127E">
        <w:rPr>
          <w:rFonts w:ascii="Public Sans" w:hAnsi="Public Sans"/>
          <w:sz w:val="20"/>
          <w:szCs w:val="20"/>
        </w:rPr>
        <w:t>ork in a safe and compliant manner.</w:t>
      </w:r>
    </w:p>
    <w:p w14:paraId="025965CC" w14:textId="4E0663DF" w:rsidR="00B63158" w:rsidRPr="009F7A7C" w:rsidRDefault="00322C88" w:rsidP="00B63158">
      <w:pPr>
        <w:rPr>
          <w:rFonts w:ascii="Public Sans" w:hAnsi="Public Sans"/>
          <w:b/>
          <w:sz w:val="28"/>
          <w:szCs w:val="28"/>
        </w:rPr>
      </w:pPr>
      <w:r>
        <w:rPr>
          <w:rFonts w:ascii="Public Sans" w:hAnsi="Public Sans"/>
          <w:b/>
          <w:sz w:val="28"/>
          <w:szCs w:val="28"/>
        </w:rPr>
        <w:t xml:space="preserve">WHSMS </w:t>
      </w:r>
      <w:r w:rsidR="00526D7A">
        <w:rPr>
          <w:rFonts w:ascii="Public Sans" w:hAnsi="Public Sans"/>
          <w:b/>
          <w:sz w:val="28"/>
          <w:szCs w:val="28"/>
        </w:rPr>
        <w:t>criteria</w:t>
      </w:r>
    </w:p>
    <w:p w14:paraId="36063D38" w14:textId="299B2B66" w:rsidR="007B2E0B" w:rsidRPr="00774DD8" w:rsidRDefault="00620B31" w:rsidP="00774DD8">
      <w:pPr>
        <w:rPr>
          <w:rFonts w:ascii="Public Sans" w:hAnsi="Public Sans"/>
          <w:bCs/>
          <w:sz w:val="20"/>
          <w:szCs w:val="20"/>
        </w:rPr>
      </w:pPr>
      <w:r w:rsidRPr="00620B31">
        <w:rPr>
          <w:rFonts w:ascii="Public Sans" w:hAnsi="Public Sans"/>
          <w:bCs/>
          <w:sz w:val="20"/>
          <w:szCs w:val="20"/>
        </w:rPr>
        <w:t>In general terms the various WHS regulations a Contractor may need to comply with (and provide evidence to the satisfaction of the University</w:t>
      </w:r>
      <w:r w:rsidR="00512507">
        <w:rPr>
          <w:rFonts w:ascii="Public Sans" w:hAnsi="Public Sans"/>
          <w:bCs/>
          <w:sz w:val="20"/>
          <w:szCs w:val="20"/>
        </w:rPr>
        <w:t xml:space="preserve"> – the Evidence</w:t>
      </w:r>
      <w:r w:rsidRPr="00620B31">
        <w:rPr>
          <w:rFonts w:ascii="Public Sans" w:hAnsi="Public Sans"/>
          <w:bCs/>
          <w:sz w:val="20"/>
          <w:szCs w:val="20"/>
        </w:rPr>
        <w:t>) may be grouped under the</w:t>
      </w:r>
      <w:r w:rsidR="00512507">
        <w:rPr>
          <w:rFonts w:ascii="Public Sans" w:hAnsi="Public Sans"/>
          <w:bCs/>
          <w:sz w:val="20"/>
          <w:szCs w:val="20"/>
        </w:rPr>
        <w:t xml:space="preserve"> general</w:t>
      </w:r>
      <w:r w:rsidRPr="00620B31">
        <w:rPr>
          <w:rFonts w:ascii="Public Sans" w:hAnsi="Public Sans"/>
          <w:bCs/>
          <w:sz w:val="20"/>
          <w:szCs w:val="20"/>
        </w:rPr>
        <w:t xml:space="preserve"> criteria</w:t>
      </w:r>
      <w:r w:rsidR="00512507">
        <w:rPr>
          <w:rFonts w:ascii="Public Sans" w:hAnsi="Public Sans"/>
          <w:bCs/>
          <w:sz w:val="20"/>
          <w:szCs w:val="20"/>
        </w:rPr>
        <w:t xml:space="preserve"> listed below</w:t>
      </w:r>
      <w:r w:rsidRPr="00620B31">
        <w:rPr>
          <w:rFonts w:ascii="Public Sans" w:hAnsi="Public Sans"/>
          <w:bCs/>
          <w:sz w:val="20"/>
          <w:szCs w:val="20"/>
        </w:rPr>
        <w:t xml:space="preserve">. </w:t>
      </w:r>
      <w:proofErr w:type="gramStart"/>
      <w:r w:rsidR="00774DD8">
        <w:rPr>
          <w:rFonts w:ascii="Public Sans" w:hAnsi="Public Sans"/>
          <w:bCs/>
          <w:sz w:val="20"/>
          <w:szCs w:val="20"/>
        </w:rPr>
        <w:t>However</w:t>
      </w:r>
      <w:proofErr w:type="gramEnd"/>
      <w:r w:rsidR="00774DD8">
        <w:rPr>
          <w:rFonts w:ascii="Public Sans" w:hAnsi="Public Sans"/>
          <w:bCs/>
          <w:sz w:val="20"/>
          <w:szCs w:val="20"/>
        </w:rPr>
        <w:t xml:space="preserve"> you should note:</w:t>
      </w:r>
    </w:p>
    <w:p w14:paraId="28CE5E8D" w14:textId="24D261FF" w:rsidR="001320B8" w:rsidRPr="00774DD8" w:rsidRDefault="00620B31" w:rsidP="00B10B24">
      <w:pPr>
        <w:pStyle w:val="ListParagraph"/>
        <w:numPr>
          <w:ilvl w:val="0"/>
          <w:numId w:val="14"/>
        </w:numPr>
        <w:spacing w:after="0" w:line="240" w:lineRule="auto"/>
        <w:rPr>
          <w:rFonts w:ascii="Public Sans" w:hAnsi="Public Sans"/>
          <w:bCs/>
          <w:sz w:val="20"/>
          <w:szCs w:val="20"/>
        </w:rPr>
      </w:pPr>
      <w:r w:rsidRPr="00774DD8">
        <w:rPr>
          <w:rFonts w:ascii="Public Sans" w:hAnsi="Public Sans"/>
          <w:bCs/>
          <w:sz w:val="20"/>
          <w:szCs w:val="20"/>
        </w:rPr>
        <w:t xml:space="preserve">it may not be reasonably practicable to expect a complete WHSMS for work which is short term and/or involves specific, specialised or targeted </w:t>
      </w:r>
      <w:r w:rsidR="005230DA" w:rsidRPr="00774DD8">
        <w:rPr>
          <w:rFonts w:ascii="Public Sans" w:hAnsi="Public Sans"/>
          <w:bCs/>
          <w:sz w:val="20"/>
          <w:szCs w:val="20"/>
        </w:rPr>
        <w:t>goods and services delivery</w:t>
      </w:r>
      <w:r w:rsidRPr="00774DD8">
        <w:rPr>
          <w:rFonts w:ascii="Public Sans" w:hAnsi="Public Sans"/>
          <w:bCs/>
          <w:sz w:val="20"/>
          <w:szCs w:val="20"/>
        </w:rPr>
        <w:t>.</w:t>
      </w:r>
    </w:p>
    <w:p w14:paraId="06EBFCAC" w14:textId="41A327E0" w:rsidR="00D509EB" w:rsidRPr="00774DD8" w:rsidRDefault="00430858" w:rsidP="00B10B24">
      <w:pPr>
        <w:pStyle w:val="ListParagraph"/>
        <w:numPr>
          <w:ilvl w:val="0"/>
          <w:numId w:val="14"/>
        </w:numPr>
        <w:spacing w:after="0" w:line="240" w:lineRule="auto"/>
        <w:rPr>
          <w:rFonts w:ascii="Public Sans" w:hAnsi="Public Sans"/>
          <w:bCs/>
          <w:sz w:val="20"/>
          <w:szCs w:val="20"/>
        </w:rPr>
      </w:pPr>
      <w:r w:rsidRPr="00774DD8">
        <w:rPr>
          <w:rFonts w:ascii="Public Sans" w:hAnsi="Public Sans"/>
          <w:bCs/>
          <w:sz w:val="20"/>
          <w:szCs w:val="20"/>
        </w:rPr>
        <w:t xml:space="preserve">for Contractors </w:t>
      </w:r>
      <w:r w:rsidR="006A4B9F" w:rsidRPr="00774DD8">
        <w:rPr>
          <w:rFonts w:ascii="Public Sans" w:hAnsi="Public Sans"/>
          <w:bCs/>
          <w:sz w:val="20"/>
          <w:szCs w:val="20"/>
        </w:rPr>
        <w:t xml:space="preserve">who deliver goods </w:t>
      </w:r>
      <w:r w:rsidR="003E18FB" w:rsidRPr="00774DD8">
        <w:rPr>
          <w:rFonts w:ascii="Public Sans" w:hAnsi="Public Sans"/>
          <w:bCs/>
          <w:sz w:val="20"/>
          <w:szCs w:val="20"/>
        </w:rPr>
        <w:t>or provide service</w:t>
      </w:r>
      <w:r w:rsidR="00853616" w:rsidRPr="00774DD8">
        <w:rPr>
          <w:rFonts w:ascii="Public Sans" w:hAnsi="Public Sans"/>
          <w:bCs/>
          <w:sz w:val="20"/>
          <w:szCs w:val="20"/>
        </w:rPr>
        <w:t>s</w:t>
      </w:r>
      <w:r w:rsidR="003E18FB" w:rsidRPr="00774DD8">
        <w:rPr>
          <w:rFonts w:ascii="Public Sans" w:hAnsi="Public Sans"/>
          <w:bCs/>
          <w:sz w:val="20"/>
          <w:szCs w:val="20"/>
        </w:rPr>
        <w:t xml:space="preserve"> to areas on a Unive</w:t>
      </w:r>
      <w:r w:rsidR="00C51856" w:rsidRPr="00774DD8">
        <w:rPr>
          <w:rFonts w:ascii="Public Sans" w:hAnsi="Public Sans"/>
          <w:bCs/>
          <w:sz w:val="20"/>
          <w:szCs w:val="20"/>
        </w:rPr>
        <w:t xml:space="preserve">rsity campus or location which are deemed </w:t>
      </w:r>
      <w:bookmarkStart w:id="1" w:name="_Hlk153378757"/>
      <w:r w:rsidR="00C51856" w:rsidRPr="00774DD8">
        <w:rPr>
          <w:rFonts w:ascii="Public Sans" w:hAnsi="Public Sans"/>
          <w:bCs/>
          <w:sz w:val="20"/>
          <w:szCs w:val="20"/>
        </w:rPr>
        <w:t xml:space="preserve">public </w:t>
      </w:r>
      <w:r w:rsidR="00FC450F" w:rsidRPr="00774DD8">
        <w:rPr>
          <w:rFonts w:ascii="Public Sans" w:hAnsi="Public Sans"/>
          <w:bCs/>
          <w:sz w:val="20"/>
          <w:szCs w:val="20"/>
        </w:rPr>
        <w:t xml:space="preserve">or open </w:t>
      </w:r>
      <w:r w:rsidR="00C51856" w:rsidRPr="00774DD8">
        <w:rPr>
          <w:rFonts w:ascii="Public Sans" w:hAnsi="Public Sans"/>
          <w:bCs/>
          <w:sz w:val="20"/>
          <w:szCs w:val="20"/>
        </w:rPr>
        <w:t>space</w:t>
      </w:r>
      <w:r w:rsidR="00FC450F" w:rsidRPr="00774DD8">
        <w:rPr>
          <w:rFonts w:ascii="Public Sans" w:hAnsi="Public Sans"/>
          <w:bCs/>
          <w:sz w:val="20"/>
          <w:szCs w:val="20"/>
        </w:rPr>
        <w:t>,</w:t>
      </w:r>
      <w:r w:rsidR="00C51856" w:rsidRPr="00774DD8">
        <w:rPr>
          <w:rFonts w:ascii="Public Sans" w:hAnsi="Public Sans"/>
          <w:bCs/>
          <w:sz w:val="20"/>
          <w:szCs w:val="20"/>
        </w:rPr>
        <w:t xml:space="preserve"> or a shop front</w:t>
      </w:r>
      <w:r w:rsidR="00FC450F" w:rsidRPr="00774DD8">
        <w:rPr>
          <w:rFonts w:ascii="Public Sans" w:hAnsi="Public Sans"/>
          <w:bCs/>
          <w:sz w:val="20"/>
          <w:szCs w:val="20"/>
        </w:rPr>
        <w:t>,</w:t>
      </w:r>
      <w:r w:rsidR="00C51856" w:rsidRPr="00774DD8">
        <w:rPr>
          <w:rFonts w:ascii="Public Sans" w:hAnsi="Public Sans"/>
          <w:bCs/>
          <w:sz w:val="20"/>
          <w:szCs w:val="20"/>
        </w:rPr>
        <w:t xml:space="preserve"> or reception</w:t>
      </w:r>
      <w:bookmarkEnd w:id="1"/>
      <w:r w:rsidR="00C51856" w:rsidRPr="00774DD8">
        <w:rPr>
          <w:rFonts w:ascii="Public Sans" w:hAnsi="Public Sans"/>
          <w:bCs/>
          <w:sz w:val="20"/>
          <w:szCs w:val="20"/>
        </w:rPr>
        <w:t xml:space="preserve">, </w:t>
      </w:r>
      <w:r w:rsidR="007E2113" w:rsidRPr="00774DD8">
        <w:rPr>
          <w:rFonts w:ascii="Public Sans" w:hAnsi="Public Sans"/>
          <w:bCs/>
          <w:sz w:val="20"/>
          <w:szCs w:val="20"/>
        </w:rPr>
        <w:t>it is not practical or reasonable to verify the Contractor’s WHSMS (</w:t>
      </w:r>
      <w:r w:rsidR="003B17C9" w:rsidRPr="00774DD8">
        <w:rPr>
          <w:rFonts w:ascii="Public Sans" w:hAnsi="Public Sans"/>
          <w:bCs/>
          <w:sz w:val="20"/>
          <w:szCs w:val="20"/>
        </w:rPr>
        <w:t>in this case</w:t>
      </w:r>
      <w:r w:rsidR="00D6657E" w:rsidRPr="00774DD8">
        <w:rPr>
          <w:rFonts w:ascii="Public Sans" w:hAnsi="Public Sans"/>
          <w:bCs/>
          <w:sz w:val="20"/>
          <w:szCs w:val="20"/>
        </w:rPr>
        <w:t>, as a minimum</w:t>
      </w:r>
      <w:r w:rsidR="003B17C9" w:rsidRPr="00774DD8">
        <w:rPr>
          <w:rFonts w:ascii="Public Sans" w:hAnsi="Public Sans"/>
          <w:bCs/>
          <w:sz w:val="20"/>
          <w:szCs w:val="20"/>
        </w:rPr>
        <w:t xml:space="preserve"> a contractual agreement</w:t>
      </w:r>
      <w:r w:rsidR="00647AC0" w:rsidRPr="00774DD8">
        <w:rPr>
          <w:rFonts w:ascii="Public Sans" w:hAnsi="Public Sans"/>
          <w:bCs/>
          <w:sz w:val="20"/>
          <w:szCs w:val="20"/>
        </w:rPr>
        <w:t xml:space="preserve"> would</w:t>
      </w:r>
      <w:r w:rsidR="003B17C9" w:rsidRPr="00774DD8">
        <w:rPr>
          <w:rFonts w:ascii="Public Sans" w:hAnsi="Public Sans"/>
          <w:bCs/>
          <w:sz w:val="20"/>
          <w:szCs w:val="20"/>
        </w:rPr>
        <w:t xml:space="preserve"> specify </w:t>
      </w:r>
      <w:r w:rsidR="003425A7" w:rsidRPr="00774DD8">
        <w:rPr>
          <w:rFonts w:ascii="Public Sans" w:hAnsi="Public Sans"/>
          <w:bCs/>
          <w:sz w:val="20"/>
          <w:szCs w:val="20"/>
        </w:rPr>
        <w:t xml:space="preserve">a requirement </w:t>
      </w:r>
      <w:r w:rsidR="00B47287" w:rsidRPr="00774DD8">
        <w:rPr>
          <w:rFonts w:ascii="Public Sans" w:hAnsi="Public Sans"/>
          <w:bCs/>
          <w:sz w:val="20"/>
          <w:szCs w:val="20"/>
        </w:rPr>
        <w:t xml:space="preserve">for the Contractor </w:t>
      </w:r>
      <w:r w:rsidR="003425A7" w:rsidRPr="00774DD8">
        <w:rPr>
          <w:rFonts w:ascii="Public Sans" w:hAnsi="Public Sans"/>
          <w:bCs/>
          <w:sz w:val="20"/>
          <w:szCs w:val="20"/>
        </w:rPr>
        <w:t>to comply with Regulations governing the</w:t>
      </w:r>
      <w:r w:rsidR="00032197" w:rsidRPr="00774DD8">
        <w:rPr>
          <w:rFonts w:ascii="Public Sans" w:hAnsi="Public Sans"/>
          <w:bCs/>
          <w:sz w:val="20"/>
          <w:szCs w:val="20"/>
        </w:rPr>
        <w:t xml:space="preserve"> Work, for example the</w:t>
      </w:r>
      <w:r w:rsidR="003425A7" w:rsidRPr="00774DD8">
        <w:rPr>
          <w:rFonts w:ascii="Public Sans" w:hAnsi="Public Sans"/>
          <w:bCs/>
          <w:sz w:val="20"/>
          <w:szCs w:val="20"/>
        </w:rPr>
        <w:t xml:space="preserve"> </w:t>
      </w:r>
      <w:r w:rsidR="00F33B6A" w:rsidRPr="00774DD8">
        <w:rPr>
          <w:rFonts w:ascii="Public Sans" w:hAnsi="Public Sans"/>
          <w:bCs/>
          <w:sz w:val="20"/>
          <w:szCs w:val="20"/>
        </w:rPr>
        <w:t xml:space="preserve">design, </w:t>
      </w:r>
      <w:r w:rsidR="00671FE3" w:rsidRPr="00774DD8">
        <w:rPr>
          <w:rFonts w:ascii="Public Sans" w:hAnsi="Public Sans"/>
          <w:bCs/>
          <w:sz w:val="20"/>
          <w:szCs w:val="20"/>
        </w:rPr>
        <w:t>manufacture, import and/or supply of plant, substances or structures</w:t>
      </w:r>
      <w:r w:rsidR="00D6657E" w:rsidRPr="00774DD8">
        <w:rPr>
          <w:rFonts w:ascii="Public Sans" w:hAnsi="Public Sans"/>
          <w:bCs/>
          <w:sz w:val="20"/>
          <w:szCs w:val="20"/>
        </w:rPr>
        <w:t>, if applicable</w:t>
      </w:r>
      <w:r w:rsidR="00671FE3" w:rsidRPr="00774DD8">
        <w:rPr>
          <w:rFonts w:ascii="Public Sans" w:hAnsi="Public Sans"/>
          <w:bCs/>
          <w:sz w:val="20"/>
          <w:szCs w:val="20"/>
        </w:rPr>
        <w:t>).</w:t>
      </w:r>
    </w:p>
    <w:p w14:paraId="269C961A" w14:textId="77777777" w:rsidR="00671FE3" w:rsidRDefault="00671FE3" w:rsidP="00671FE3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40A83836" w14:textId="77777777" w:rsidR="00671FE3" w:rsidRDefault="00671FE3" w:rsidP="00671FE3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3155DA8D" w14:textId="2D9611F2" w:rsidR="0030603B" w:rsidRPr="0030603B" w:rsidRDefault="00032197" w:rsidP="00671FE3">
      <w:pPr>
        <w:spacing w:after="0" w:line="240" w:lineRule="auto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T</w:t>
      </w:r>
      <w:r w:rsidR="0030603B">
        <w:rPr>
          <w:rFonts w:ascii="Public Sans" w:hAnsi="Public Sans"/>
          <w:bCs/>
          <w:sz w:val="20"/>
          <w:szCs w:val="20"/>
        </w:rPr>
        <w:t xml:space="preserve">he following </w:t>
      </w:r>
      <w:r>
        <w:rPr>
          <w:rFonts w:ascii="Public Sans" w:hAnsi="Public Sans"/>
          <w:bCs/>
          <w:sz w:val="20"/>
          <w:szCs w:val="20"/>
        </w:rPr>
        <w:t xml:space="preserve">general </w:t>
      </w:r>
      <w:r w:rsidR="0030603B">
        <w:rPr>
          <w:rFonts w:ascii="Public Sans" w:hAnsi="Public Sans"/>
          <w:bCs/>
          <w:sz w:val="20"/>
          <w:szCs w:val="20"/>
        </w:rPr>
        <w:t>criteria may apply to the Contractor’s Work:</w:t>
      </w:r>
      <w:r w:rsidR="0030603B" w:rsidRPr="0030603B">
        <w:rPr>
          <w:rFonts w:ascii="Public Sans" w:hAnsi="Public Sans"/>
          <w:bCs/>
          <w:sz w:val="20"/>
          <w:szCs w:val="20"/>
        </w:rPr>
        <w:t xml:space="preserve"> </w:t>
      </w:r>
    </w:p>
    <w:p w14:paraId="486E4A1B" w14:textId="60826731" w:rsidR="001320B8" w:rsidRDefault="001320B8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 w:rsidRPr="001320B8">
        <w:rPr>
          <w:rFonts w:ascii="Public Sans" w:hAnsi="Public Sans"/>
          <w:bCs/>
          <w:sz w:val="20"/>
          <w:szCs w:val="20"/>
        </w:rPr>
        <w:t>WHS management system</w:t>
      </w:r>
    </w:p>
    <w:p w14:paraId="49A6ABBE" w14:textId="5FE9A34F" w:rsidR="00D92154" w:rsidRDefault="00D92154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Risk management</w:t>
      </w:r>
      <w:r w:rsidR="00AC3F1B">
        <w:rPr>
          <w:rFonts w:ascii="Public Sans" w:hAnsi="Public Sans"/>
          <w:bCs/>
          <w:sz w:val="20"/>
          <w:szCs w:val="20"/>
        </w:rPr>
        <w:t xml:space="preserve"> </w:t>
      </w:r>
    </w:p>
    <w:p w14:paraId="3AFBA9B5" w14:textId="10EB0805" w:rsidR="00D92154" w:rsidRDefault="00D92154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H</w:t>
      </w:r>
      <w:r w:rsidR="00774DD8">
        <w:rPr>
          <w:rFonts w:ascii="Public Sans" w:hAnsi="Public Sans"/>
          <w:bCs/>
          <w:sz w:val="20"/>
          <w:szCs w:val="20"/>
        </w:rPr>
        <w:t xml:space="preserve">azardous </w:t>
      </w:r>
      <w:r>
        <w:rPr>
          <w:rFonts w:ascii="Public Sans" w:hAnsi="Public Sans"/>
          <w:bCs/>
          <w:sz w:val="20"/>
          <w:szCs w:val="20"/>
        </w:rPr>
        <w:t>work</w:t>
      </w:r>
    </w:p>
    <w:p w14:paraId="33643F15" w14:textId="5E92483F" w:rsidR="00774DD8" w:rsidRDefault="00774DD8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Plant and structures</w:t>
      </w:r>
    </w:p>
    <w:p w14:paraId="3B5C82EE" w14:textId="71C85448" w:rsidR="00774DD8" w:rsidRDefault="00774DD8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Hazardous chemicals, asbestos and silica</w:t>
      </w:r>
    </w:p>
    <w:p w14:paraId="0DDA625E" w14:textId="3AD52D81" w:rsidR="00D92154" w:rsidRDefault="00D92154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Licen</w:t>
      </w:r>
      <w:r w:rsidR="00C57920">
        <w:rPr>
          <w:rFonts w:ascii="Public Sans" w:hAnsi="Public Sans"/>
          <w:bCs/>
          <w:sz w:val="20"/>
          <w:szCs w:val="20"/>
        </w:rPr>
        <w:t>sing</w:t>
      </w:r>
    </w:p>
    <w:p w14:paraId="4AAD3160" w14:textId="485FA9F0" w:rsidR="00D92154" w:rsidRDefault="00D92154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Induction and WHS training</w:t>
      </w:r>
    </w:p>
    <w:p w14:paraId="423DD868" w14:textId="739D7189" w:rsidR="00D92154" w:rsidRDefault="00093DAC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 w:rsidRPr="00093DAC">
        <w:rPr>
          <w:rFonts w:ascii="Public Sans" w:hAnsi="Public Sans"/>
          <w:bCs/>
          <w:sz w:val="20"/>
          <w:szCs w:val="20"/>
        </w:rPr>
        <w:t>Consultation, coordination and cooperation</w:t>
      </w:r>
    </w:p>
    <w:p w14:paraId="439FD8C1" w14:textId="5E5E017B" w:rsidR="00093DAC" w:rsidRPr="00D92154" w:rsidRDefault="002B6158" w:rsidP="00B10B24">
      <w:pPr>
        <w:pStyle w:val="ListParagraph"/>
        <w:numPr>
          <w:ilvl w:val="0"/>
          <w:numId w:val="14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Declarations related to regulatory non-compliances.</w:t>
      </w:r>
    </w:p>
    <w:p w14:paraId="66A1BED0" w14:textId="0A9D4A84" w:rsidR="001402D6" w:rsidRDefault="00032197" w:rsidP="00B63158">
      <w:pPr>
        <w:rPr>
          <w:rFonts w:ascii="Public Sans" w:hAnsi="Public Sans"/>
          <w:bCs/>
          <w:sz w:val="20"/>
          <w:szCs w:val="20"/>
        </w:rPr>
      </w:pPr>
      <w:r w:rsidRPr="00032197">
        <w:rPr>
          <w:rFonts w:ascii="Public Sans" w:hAnsi="Public Sans"/>
          <w:bCs/>
          <w:sz w:val="20"/>
          <w:szCs w:val="20"/>
        </w:rPr>
        <w:t xml:space="preserve">To </w:t>
      </w:r>
      <w:r>
        <w:rPr>
          <w:rFonts w:ascii="Public Sans" w:hAnsi="Public Sans"/>
          <w:bCs/>
          <w:sz w:val="20"/>
          <w:szCs w:val="20"/>
        </w:rPr>
        <w:t>determine the extent of any Evidence, the</w:t>
      </w:r>
      <w:r w:rsidR="00B5132B">
        <w:rPr>
          <w:rFonts w:ascii="Public Sans" w:hAnsi="Public Sans"/>
          <w:bCs/>
          <w:sz w:val="20"/>
          <w:szCs w:val="20"/>
        </w:rPr>
        <w:t xml:space="preserve"> following</w:t>
      </w:r>
      <w:r>
        <w:rPr>
          <w:rFonts w:ascii="Public Sans" w:hAnsi="Public Sans"/>
          <w:bCs/>
          <w:sz w:val="20"/>
          <w:szCs w:val="20"/>
        </w:rPr>
        <w:t xml:space="preserve"> considerations may help support the verification process</w:t>
      </w:r>
      <w:r w:rsidR="00B5132B">
        <w:rPr>
          <w:rFonts w:ascii="Public Sans" w:hAnsi="Public Sans"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498"/>
      </w:tblGrid>
      <w:tr w:rsidR="00032197" w14:paraId="1EB6D942" w14:textId="77777777" w:rsidTr="00421701">
        <w:tc>
          <w:tcPr>
            <w:tcW w:w="1413" w:type="dxa"/>
            <w:shd w:val="clear" w:color="auto" w:fill="BE830E"/>
          </w:tcPr>
          <w:p w14:paraId="3CB89655" w14:textId="4DC65758" w:rsidR="00032197" w:rsidRPr="00032197" w:rsidRDefault="00032197" w:rsidP="00032197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032197">
              <w:rPr>
                <w:rFonts w:ascii="Public Sans" w:hAnsi="Public Sans"/>
                <w:b/>
                <w:sz w:val="20"/>
                <w:szCs w:val="20"/>
              </w:rPr>
              <w:t>Type of work</w:t>
            </w:r>
          </w:p>
        </w:tc>
        <w:tc>
          <w:tcPr>
            <w:tcW w:w="8498" w:type="dxa"/>
            <w:shd w:val="clear" w:color="auto" w:fill="BE830E"/>
          </w:tcPr>
          <w:p w14:paraId="106C1D90" w14:textId="60ECF3DC" w:rsidR="00032197" w:rsidRPr="00032197" w:rsidRDefault="00032197" w:rsidP="00032197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032197">
              <w:rPr>
                <w:rFonts w:ascii="Public Sans" w:hAnsi="Public Sans"/>
                <w:b/>
                <w:sz w:val="20"/>
                <w:szCs w:val="20"/>
              </w:rPr>
              <w:t>Considerations</w:t>
            </w:r>
          </w:p>
        </w:tc>
      </w:tr>
      <w:tr w:rsidR="00032197" w14:paraId="460A8675" w14:textId="77777777" w:rsidTr="00421701">
        <w:tc>
          <w:tcPr>
            <w:tcW w:w="1413" w:type="dxa"/>
            <w:shd w:val="clear" w:color="auto" w:fill="F5EDDE"/>
          </w:tcPr>
          <w:p w14:paraId="67B97870" w14:textId="739AF0D5" w:rsidR="00032197" w:rsidRPr="00032197" w:rsidRDefault="00032197" w:rsidP="00032197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032197">
              <w:rPr>
                <w:rFonts w:ascii="Public Sans" w:hAnsi="Public Sans"/>
                <w:b/>
                <w:sz w:val="20"/>
                <w:szCs w:val="20"/>
              </w:rPr>
              <w:t>Goods</w:t>
            </w:r>
          </w:p>
        </w:tc>
        <w:tc>
          <w:tcPr>
            <w:tcW w:w="8498" w:type="dxa"/>
          </w:tcPr>
          <w:p w14:paraId="20CB9066" w14:textId="77777777" w:rsidR="00032197" w:rsidRDefault="00AC3F1B" w:rsidP="00032197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What type of goods are being provided?</w:t>
            </w:r>
          </w:p>
          <w:p w14:paraId="45393C8D" w14:textId="77777777" w:rsidR="00AC3F1B" w:rsidRDefault="00AC3F1B" w:rsidP="00032197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Are the goods required to meet a regulatory requirement or standard?</w:t>
            </w:r>
          </w:p>
          <w:p w14:paraId="5C01782B" w14:textId="77777777" w:rsidR="00AC3F1B" w:rsidRDefault="00AC3F1B" w:rsidP="00032197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Is the provision a </w:t>
            </w:r>
            <w:proofErr w:type="gramStart"/>
            <w:r>
              <w:rPr>
                <w:rFonts w:ascii="Public Sans" w:hAnsi="Public Sans"/>
                <w:bCs/>
                <w:sz w:val="20"/>
                <w:szCs w:val="20"/>
              </w:rPr>
              <w:t>one off</w:t>
            </w:r>
            <w:proofErr w:type="gramEnd"/>
            <w:r>
              <w:rPr>
                <w:rFonts w:ascii="Public Sans" w:hAnsi="Public Sans"/>
                <w:bCs/>
                <w:sz w:val="20"/>
                <w:szCs w:val="20"/>
              </w:rPr>
              <w:t xml:space="preserve"> occurrence?</w:t>
            </w:r>
          </w:p>
          <w:p w14:paraId="48F5925E" w14:textId="17845124" w:rsidR="00AC3F1B" w:rsidRDefault="00AC3F1B" w:rsidP="00032197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Is the provision a </w:t>
            </w:r>
            <w:proofErr w:type="gramStart"/>
            <w:r>
              <w:rPr>
                <w:rFonts w:ascii="Public Sans" w:hAnsi="Public Sans"/>
                <w:bCs/>
                <w:sz w:val="20"/>
                <w:szCs w:val="20"/>
              </w:rPr>
              <w:t>longer term</w:t>
            </w:r>
            <w:proofErr w:type="gramEnd"/>
            <w:r>
              <w:rPr>
                <w:rFonts w:ascii="Public Sans" w:hAnsi="Public Sans"/>
                <w:bCs/>
                <w:sz w:val="20"/>
                <w:szCs w:val="20"/>
              </w:rPr>
              <w:t xml:space="preserve"> arrangement requiring access to the University workplace by Contractor </w:t>
            </w:r>
            <w:r w:rsidR="001B024E">
              <w:rPr>
                <w:rFonts w:ascii="Public Sans" w:hAnsi="Public Sans"/>
                <w:bCs/>
                <w:sz w:val="20"/>
                <w:szCs w:val="20"/>
              </w:rPr>
              <w:t xml:space="preserve">and/or sub-contractor </w:t>
            </w:r>
            <w:r>
              <w:rPr>
                <w:rFonts w:ascii="Public Sans" w:hAnsi="Public Sans"/>
                <w:bCs/>
                <w:sz w:val="20"/>
                <w:szCs w:val="20"/>
              </w:rPr>
              <w:t>workers?</w:t>
            </w:r>
          </w:p>
          <w:p w14:paraId="514E5B1F" w14:textId="00705A66" w:rsidR="00753338" w:rsidRDefault="00753338" w:rsidP="00032197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Is the provision to a client facing area or into the University workplace such as Tier 3 work areas (see Appendix 4 – Managing scientific and research contractors)?</w:t>
            </w:r>
          </w:p>
        </w:tc>
      </w:tr>
      <w:tr w:rsidR="00032197" w14:paraId="7A6C5D6C" w14:textId="77777777" w:rsidTr="00421701">
        <w:tc>
          <w:tcPr>
            <w:tcW w:w="1413" w:type="dxa"/>
            <w:shd w:val="clear" w:color="auto" w:fill="F5EDDE"/>
          </w:tcPr>
          <w:p w14:paraId="1CD51A50" w14:textId="57FCB6DC" w:rsidR="00032197" w:rsidRPr="00032197" w:rsidRDefault="00032197" w:rsidP="00032197">
            <w:pPr>
              <w:rPr>
                <w:rFonts w:ascii="Public Sans" w:hAnsi="Public Sans"/>
                <w:b/>
                <w:sz w:val="20"/>
                <w:szCs w:val="20"/>
              </w:rPr>
            </w:pPr>
            <w:r w:rsidRPr="00032197">
              <w:rPr>
                <w:rFonts w:ascii="Public Sans" w:hAnsi="Public Sans"/>
                <w:b/>
                <w:sz w:val="20"/>
                <w:szCs w:val="20"/>
              </w:rPr>
              <w:t>Services</w:t>
            </w:r>
          </w:p>
        </w:tc>
        <w:tc>
          <w:tcPr>
            <w:tcW w:w="8498" w:type="dxa"/>
          </w:tcPr>
          <w:p w14:paraId="4F39879E" w14:textId="38C9D681" w:rsidR="00753338" w:rsidRDefault="0075333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What type of </w:t>
            </w:r>
            <w:r w:rsidR="003B38FE">
              <w:rPr>
                <w:rFonts w:ascii="Public Sans" w:hAnsi="Public Sans"/>
                <w:bCs/>
                <w:sz w:val="20"/>
                <w:szCs w:val="20"/>
              </w:rPr>
              <w:t>service</w:t>
            </w:r>
            <w:r>
              <w:rPr>
                <w:rFonts w:ascii="Public Sans" w:hAnsi="Public Sans"/>
                <w:bCs/>
                <w:sz w:val="20"/>
                <w:szCs w:val="20"/>
              </w:rPr>
              <w:t>s are being provided?</w:t>
            </w:r>
          </w:p>
          <w:p w14:paraId="6D148C51" w14:textId="0C724EAF" w:rsidR="00753338" w:rsidRDefault="0075333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Are the </w:t>
            </w:r>
            <w:r w:rsidR="003B38FE">
              <w:rPr>
                <w:rFonts w:ascii="Public Sans" w:hAnsi="Public Sans"/>
                <w:bCs/>
                <w:sz w:val="20"/>
                <w:szCs w:val="20"/>
              </w:rPr>
              <w:t>service</w:t>
            </w:r>
            <w:r>
              <w:rPr>
                <w:rFonts w:ascii="Public Sans" w:hAnsi="Public Sans"/>
                <w:bCs/>
                <w:sz w:val="20"/>
                <w:szCs w:val="20"/>
              </w:rPr>
              <w:t>s required to meet a regulatory requirement or standard?</w:t>
            </w:r>
          </w:p>
          <w:p w14:paraId="4857EA0C" w14:textId="77777777" w:rsidR="00753338" w:rsidRDefault="0075333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Is the provision a </w:t>
            </w:r>
            <w:proofErr w:type="gramStart"/>
            <w:r>
              <w:rPr>
                <w:rFonts w:ascii="Public Sans" w:hAnsi="Public Sans"/>
                <w:bCs/>
                <w:sz w:val="20"/>
                <w:szCs w:val="20"/>
              </w:rPr>
              <w:t>one off</w:t>
            </w:r>
            <w:proofErr w:type="gramEnd"/>
            <w:r>
              <w:rPr>
                <w:rFonts w:ascii="Public Sans" w:hAnsi="Public Sans"/>
                <w:bCs/>
                <w:sz w:val="20"/>
                <w:szCs w:val="20"/>
              </w:rPr>
              <w:t xml:space="preserve"> occurrence?</w:t>
            </w:r>
          </w:p>
          <w:p w14:paraId="071E3F4E" w14:textId="23116A0F" w:rsidR="00032197" w:rsidRDefault="0075333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 xml:space="preserve">Is the provision a </w:t>
            </w:r>
            <w:proofErr w:type="gramStart"/>
            <w:r>
              <w:rPr>
                <w:rFonts w:ascii="Public Sans" w:hAnsi="Public Sans"/>
                <w:bCs/>
                <w:sz w:val="20"/>
                <w:szCs w:val="20"/>
              </w:rPr>
              <w:t>longer term</w:t>
            </w:r>
            <w:proofErr w:type="gramEnd"/>
            <w:r>
              <w:rPr>
                <w:rFonts w:ascii="Public Sans" w:hAnsi="Public Sans"/>
                <w:bCs/>
                <w:sz w:val="20"/>
                <w:szCs w:val="20"/>
              </w:rPr>
              <w:t xml:space="preserve"> arrangement requiring access to the University workplace by Contractor</w:t>
            </w:r>
            <w:r w:rsidR="00482D64">
              <w:rPr>
                <w:rFonts w:ascii="Public Sans" w:hAnsi="Public Sans"/>
                <w:bCs/>
                <w:sz w:val="20"/>
                <w:szCs w:val="20"/>
              </w:rPr>
              <w:t xml:space="preserve"> workers</w:t>
            </w:r>
            <w:r>
              <w:rPr>
                <w:rFonts w:ascii="Public Sans" w:hAnsi="Public Sans"/>
                <w:bCs/>
                <w:sz w:val="20"/>
                <w:szCs w:val="20"/>
              </w:rPr>
              <w:t xml:space="preserve"> </w:t>
            </w:r>
            <w:r w:rsidR="001B024E">
              <w:rPr>
                <w:rFonts w:ascii="Public Sans" w:hAnsi="Public Sans"/>
                <w:bCs/>
                <w:sz w:val="20"/>
                <w:szCs w:val="20"/>
              </w:rPr>
              <w:t xml:space="preserve">and/or sub-contractor </w:t>
            </w:r>
            <w:r>
              <w:rPr>
                <w:rFonts w:ascii="Public Sans" w:hAnsi="Public Sans"/>
                <w:bCs/>
                <w:sz w:val="20"/>
                <w:szCs w:val="20"/>
              </w:rPr>
              <w:t>workers?</w:t>
            </w:r>
          </w:p>
          <w:p w14:paraId="02158637" w14:textId="1814786B" w:rsidR="00200497" w:rsidRDefault="008E0F7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Is the University a host employer for Contractor wo</w:t>
            </w:r>
            <w:r w:rsidR="00421701">
              <w:rPr>
                <w:rFonts w:ascii="Public Sans" w:hAnsi="Public Sans"/>
                <w:bCs/>
                <w:sz w:val="20"/>
                <w:szCs w:val="20"/>
              </w:rPr>
              <w:t>rkers (employment agency workers)?</w:t>
            </w:r>
          </w:p>
          <w:p w14:paraId="365F2071" w14:textId="32778A07" w:rsidR="00753338" w:rsidRDefault="00753338" w:rsidP="00753338">
            <w:pPr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Do Contractor workers need to be supervised while in the workplace or need unsupervised access, in particular Tier 3 work areas (see Appendix 4 – Managing scientific and research contractors)?</w:t>
            </w:r>
          </w:p>
        </w:tc>
      </w:tr>
    </w:tbl>
    <w:p w14:paraId="561434B9" w14:textId="77777777" w:rsidR="00E4604C" w:rsidRDefault="00E4604C" w:rsidP="00753338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558560F7" w14:textId="5F4C31AF" w:rsidR="00753338" w:rsidRPr="00753338" w:rsidRDefault="00753338" w:rsidP="00753338">
      <w:pPr>
        <w:spacing w:after="0" w:line="240" w:lineRule="auto"/>
        <w:rPr>
          <w:rFonts w:ascii="Public Sans" w:hAnsi="Public Sans"/>
          <w:bCs/>
          <w:sz w:val="20"/>
          <w:szCs w:val="20"/>
        </w:rPr>
      </w:pPr>
    </w:p>
    <w:p w14:paraId="55EDA739" w14:textId="04D0B74A" w:rsidR="00192B14" w:rsidRPr="009F7A7C" w:rsidRDefault="00192B14" w:rsidP="00B63158">
      <w:pPr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Decision references</w:t>
      </w:r>
    </w:p>
    <w:p w14:paraId="1935123F" w14:textId="67F006E4" w:rsidR="00192B14" w:rsidRPr="00A75FE0" w:rsidRDefault="00192B14" w:rsidP="00B63158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In reviewing </w:t>
      </w:r>
      <w:r w:rsidR="00485CA4">
        <w:rPr>
          <w:rFonts w:ascii="Public Sans" w:hAnsi="Public Sans"/>
          <w:sz w:val="20"/>
          <w:szCs w:val="20"/>
        </w:rPr>
        <w:t xml:space="preserve">a </w:t>
      </w:r>
      <w:r w:rsidR="00384156">
        <w:rPr>
          <w:rFonts w:ascii="Public Sans" w:hAnsi="Public Sans"/>
          <w:sz w:val="20"/>
          <w:szCs w:val="20"/>
        </w:rPr>
        <w:t>C</w:t>
      </w:r>
      <w:r w:rsidR="00485CA4">
        <w:rPr>
          <w:rFonts w:ascii="Public Sans" w:hAnsi="Public Sans"/>
          <w:sz w:val="20"/>
          <w:szCs w:val="20"/>
        </w:rPr>
        <w:t xml:space="preserve">ontractor’s </w:t>
      </w:r>
      <w:r w:rsidR="00D72F1C">
        <w:rPr>
          <w:rFonts w:ascii="Public Sans" w:hAnsi="Public Sans"/>
          <w:sz w:val="20"/>
          <w:szCs w:val="20"/>
        </w:rPr>
        <w:t xml:space="preserve">WHSMS </w:t>
      </w:r>
      <w:r w:rsidRPr="00A75FE0">
        <w:rPr>
          <w:rFonts w:ascii="Public Sans" w:hAnsi="Public Sans"/>
          <w:sz w:val="20"/>
          <w:szCs w:val="20"/>
        </w:rPr>
        <w:t>evidence refer to the following resources in this sequence:</w:t>
      </w:r>
    </w:p>
    <w:p w14:paraId="2409BAE1" w14:textId="292C5894" w:rsidR="00192B14" w:rsidRPr="00A75FE0" w:rsidRDefault="00E4604C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hyperlink r:id="rId13" w:history="1">
        <w:r>
          <w:rPr>
            <w:rStyle w:val="Hyperlink"/>
            <w:rFonts w:ascii="Public Sans" w:hAnsi="Public Sans"/>
            <w:sz w:val="20"/>
            <w:szCs w:val="20"/>
          </w:rPr>
          <w:t>State/Territory WHS legislation applicable to the Contractor’s work location</w:t>
        </w:r>
      </w:hyperlink>
    </w:p>
    <w:p w14:paraId="245301DD" w14:textId="77777777" w:rsidR="00192B14" w:rsidRPr="00A75FE0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State/Territory WHS regulator codes of practice (CoP)</w:t>
      </w:r>
    </w:p>
    <w:p w14:paraId="1F7B30A3" w14:textId="23D0AEFF" w:rsidR="00192B14" w:rsidRPr="00A75FE0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hyperlink r:id="rId14" w:history="1">
        <w:r w:rsidRPr="00A75FE0">
          <w:rPr>
            <w:rStyle w:val="Hyperlink"/>
            <w:rFonts w:ascii="Public Sans" w:hAnsi="Public Sans"/>
            <w:sz w:val="20"/>
            <w:szCs w:val="20"/>
          </w:rPr>
          <w:t>AS/NZS standards</w:t>
        </w:r>
      </w:hyperlink>
      <w:r w:rsidRPr="00A75FE0">
        <w:rPr>
          <w:rFonts w:ascii="Public Sans" w:hAnsi="Public Sans"/>
          <w:sz w:val="20"/>
          <w:szCs w:val="20"/>
        </w:rPr>
        <w:t xml:space="preserve"> as called up in the WHS legislation or CoP</w:t>
      </w:r>
    </w:p>
    <w:p w14:paraId="54059D47" w14:textId="3E61F5CF" w:rsidR="00192B14" w:rsidRPr="00A75FE0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hyperlink r:id="rId15" w:history="1">
        <w:r w:rsidRPr="00A75FE0">
          <w:rPr>
            <w:rStyle w:val="Hyperlink"/>
            <w:rFonts w:ascii="Public Sans" w:hAnsi="Public Sans"/>
            <w:sz w:val="20"/>
            <w:szCs w:val="20"/>
          </w:rPr>
          <w:t>Safe Work Australia (SWA) model WHS legislation if not addressed in State/Territory WHS legislation</w:t>
        </w:r>
      </w:hyperlink>
    </w:p>
    <w:p w14:paraId="766F923E" w14:textId="77777777" w:rsidR="00192B14" w:rsidRPr="00A75FE0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SWA model CoP if not available through State/Territory WHS regulators</w:t>
      </w:r>
    </w:p>
    <w:p w14:paraId="314A527B" w14:textId="77777777" w:rsidR="00192B14" w:rsidRPr="00A75FE0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Industry standards promoted through SWA or other bodies</w:t>
      </w:r>
    </w:p>
    <w:p w14:paraId="327A754D" w14:textId="7FC228E0" w:rsidR="00EB029A" w:rsidRPr="00381D9C" w:rsidRDefault="00192B14" w:rsidP="00B10B24">
      <w:pPr>
        <w:pStyle w:val="ListParagraph"/>
        <w:numPr>
          <w:ilvl w:val="0"/>
          <w:numId w:val="4"/>
        </w:numPr>
        <w:rPr>
          <w:rFonts w:ascii="Public Sans" w:hAnsi="Public Sans"/>
          <w:sz w:val="20"/>
          <w:szCs w:val="20"/>
        </w:rPr>
      </w:pPr>
      <w:hyperlink r:id="rId16" w:history="1">
        <w:r w:rsidRPr="00A75FE0">
          <w:rPr>
            <w:rStyle w:val="Hyperlink"/>
            <w:rFonts w:ascii="Public Sans" w:hAnsi="Public Sans"/>
            <w:sz w:val="20"/>
            <w:szCs w:val="20"/>
          </w:rPr>
          <w:t>Comcare guidance material.</w:t>
        </w:r>
      </w:hyperlink>
    </w:p>
    <w:p w14:paraId="7962B5F4" w14:textId="77777777" w:rsidR="00381D9C" w:rsidRDefault="00381D9C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11A97DCB" w14:textId="77777777" w:rsidR="009578AA" w:rsidRDefault="009578AA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38DF839C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3F4E4972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5B994CA2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471BE121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5B9E1784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0D74233D" w14:textId="77777777" w:rsidR="00653A53" w:rsidRDefault="00653A53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0ACDBA75" w14:textId="69237E19" w:rsidR="007A132E" w:rsidRPr="009F7A7C" w:rsidRDefault="00EB029A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Guidance information</w:t>
      </w:r>
    </w:p>
    <w:p w14:paraId="5998BF56" w14:textId="77777777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C2DAAD1" w14:textId="09A917A7" w:rsidR="005939D4" w:rsidRDefault="0091738D" w:rsidP="00EB029A">
      <w:p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following </w:t>
      </w:r>
      <w:r w:rsidR="00653A53">
        <w:rPr>
          <w:rFonts w:ascii="Public Sans" w:hAnsi="Public Sans"/>
          <w:sz w:val="20"/>
          <w:szCs w:val="20"/>
        </w:rPr>
        <w:t>two (2) points</w:t>
      </w:r>
      <w:r w:rsidRPr="00A75FE0">
        <w:rPr>
          <w:rFonts w:ascii="Public Sans" w:hAnsi="Public Sans"/>
          <w:sz w:val="20"/>
          <w:szCs w:val="20"/>
        </w:rPr>
        <w:t xml:space="preserve"> will</w:t>
      </w:r>
      <w:r w:rsidR="00FA551A" w:rsidRPr="00A75FE0">
        <w:rPr>
          <w:rFonts w:ascii="Public Sans" w:hAnsi="Public Sans"/>
          <w:sz w:val="20"/>
          <w:szCs w:val="20"/>
        </w:rPr>
        <w:t xml:space="preserve"> guide the </w:t>
      </w:r>
      <w:r w:rsidR="005939D4" w:rsidRPr="00A75FE0">
        <w:rPr>
          <w:rFonts w:ascii="Public Sans" w:hAnsi="Public Sans"/>
          <w:sz w:val="20"/>
          <w:szCs w:val="20"/>
        </w:rPr>
        <w:t>review</w:t>
      </w:r>
      <w:r w:rsidR="00FA551A" w:rsidRPr="00A75FE0">
        <w:rPr>
          <w:rFonts w:ascii="Public Sans" w:hAnsi="Public Sans"/>
          <w:sz w:val="20"/>
          <w:szCs w:val="20"/>
        </w:rPr>
        <w:t xml:space="preserve"> of </w:t>
      </w:r>
      <w:r w:rsidR="009E250C">
        <w:rPr>
          <w:rFonts w:ascii="Public Sans" w:hAnsi="Public Sans"/>
          <w:sz w:val="20"/>
          <w:szCs w:val="20"/>
        </w:rPr>
        <w:t xml:space="preserve">a Contractor’s </w:t>
      </w:r>
      <w:r w:rsidR="00032197">
        <w:rPr>
          <w:rFonts w:ascii="Public Sans" w:hAnsi="Public Sans"/>
          <w:sz w:val="20"/>
          <w:szCs w:val="20"/>
        </w:rPr>
        <w:t>E</w:t>
      </w:r>
      <w:r w:rsidR="00FA551A" w:rsidRPr="00A75FE0">
        <w:rPr>
          <w:rFonts w:ascii="Public Sans" w:hAnsi="Public Sans"/>
          <w:sz w:val="20"/>
          <w:szCs w:val="20"/>
        </w:rPr>
        <w:t>vidence based</w:t>
      </w:r>
      <w:r w:rsidR="005939D4" w:rsidRPr="00A75FE0">
        <w:rPr>
          <w:rFonts w:ascii="Public Sans" w:hAnsi="Public Sans"/>
          <w:sz w:val="20"/>
          <w:szCs w:val="20"/>
        </w:rPr>
        <w:t xml:space="preserve"> on the two (2) decision factors</w:t>
      </w:r>
      <w:r w:rsidR="00753338">
        <w:rPr>
          <w:rFonts w:ascii="Public Sans" w:hAnsi="Public Sans"/>
          <w:sz w:val="20"/>
          <w:szCs w:val="20"/>
        </w:rPr>
        <w:t>:</w:t>
      </w:r>
    </w:p>
    <w:p w14:paraId="01FE4ADA" w14:textId="136E8FC5" w:rsidR="00753338" w:rsidRPr="00653A53" w:rsidRDefault="00753338" w:rsidP="00B10B24">
      <w:pPr>
        <w:pStyle w:val="ListParagraph"/>
        <w:numPr>
          <w:ilvl w:val="0"/>
          <w:numId w:val="18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 the goods or services are delivered to a public or open space or University client facing area such as </w:t>
      </w:r>
      <w:r w:rsidRPr="00753338">
        <w:rPr>
          <w:rFonts w:ascii="Public Sans" w:hAnsi="Public Sans"/>
          <w:sz w:val="20"/>
          <w:szCs w:val="20"/>
        </w:rPr>
        <w:t>a shop front</w:t>
      </w:r>
      <w:r>
        <w:rPr>
          <w:rFonts w:ascii="Public Sans" w:hAnsi="Public Sans"/>
          <w:sz w:val="20"/>
          <w:szCs w:val="20"/>
        </w:rPr>
        <w:t xml:space="preserve"> </w:t>
      </w:r>
      <w:r w:rsidRPr="00753338">
        <w:rPr>
          <w:rFonts w:ascii="Public Sans" w:hAnsi="Public Sans"/>
          <w:sz w:val="20"/>
          <w:szCs w:val="20"/>
        </w:rPr>
        <w:t>or reception</w:t>
      </w:r>
      <w:r>
        <w:rPr>
          <w:rFonts w:ascii="Public Sans" w:hAnsi="Public Sans"/>
          <w:sz w:val="20"/>
          <w:szCs w:val="20"/>
        </w:rPr>
        <w:t xml:space="preserve">, no Evidence is required from the </w:t>
      </w:r>
      <w:r w:rsidR="00350FC7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ontractor. However</w:t>
      </w:r>
      <w:r w:rsidR="00653A53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the University should have a contractual agreement which requires the Contractor to consult, coordinate and cooperate on any WHS matters and not put others at risk of harm due to their Work</w:t>
      </w:r>
      <w:r w:rsidR="00F2210C">
        <w:rPr>
          <w:rFonts w:ascii="Public Sans" w:hAnsi="Public Sans"/>
          <w:sz w:val="20"/>
          <w:szCs w:val="20"/>
        </w:rPr>
        <w:t xml:space="preserve">. Furthermore, the contractual agreement may need to identify the Contractor’s WHS duties in relation to </w:t>
      </w:r>
      <w:r w:rsidR="00F2210C" w:rsidRPr="00774DD8">
        <w:rPr>
          <w:rFonts w:ascii="Public Sans" w:hAnsi="Public Sans"/>
          <w:bCs/>
          <w:sz w:val="20"/>
          <w:szCs w:val="20"/>
        </w:rPr>
        <w:t>the design, manufacture, import and/or supply of plant, substances or structures, if applicable</w:t>
      </w:r>
      <w:r w:rsidR="00653A53">
        <w:rPr>
          <w:rFonts w:ascii="Public Sans" w:hAnsi="Public Sans"/>
          <w:bCs/>
          <w:sz w:val="20"/>
          <w:szCs w:val="20"/>
        </w:rPr>
        <w:t>.</w:t>
      </w:r>
    </w:p>
    <w:p w14:paraId="5B7AFB88" w14:textId="1F6659A8" w:rsidR="00653A53" w:rsidRPr="00753338" w:rsidRDefault="00653A53" w:rsidP="00B10B24">
      <w:pPr>
        <w:pStyle w:val="ListParagraph"/>
        <w:numPr>
          <w:ilvl w:val="0"/>
          <w:numId w:val="18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If the goods and services are delivered into or on the University workplace, then Evidence must be verified as applicable to the Work (see information below).</w:t>
      </w:r>
    </w:p>
    <w:p w14:paraId="79139434" w14:textId="20F742B9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AF6284E" w14:textId="605BD24B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W</w:t>
      </w:r>
      <w:r w:rsidR="001C1787">
        <w:rPr>
          <w:rFonts w:ascii="Public Sans" w:hAnsi="Public Sans"/>
          <w:b/>
          <w:sz w:val="20"/>
          <w:szCs w:val="20"/>
        </w:rPr>
        <w:t>ork health and safety</w:t>
      </w:r>
      <w:r>
        <w:rPr>
          <w:rFonts w:ascii="Public Sans" w:hAnsi="Public Sans"/>
          <w:b/>
          <w:sz w:val="20"/>
          <w:szCs w:val="20"/>
        </w:rPr>
        <w:t xml:space="preserve"> management system (WHSMS)</w:t>
      </w:r>
    </w:p>
    <w:p w14:paraId="613FBAA3" w14:textId="77777777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488CAF51" w14:textId="46EF5435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The </w:t>
      </w:r>
      <w:r w:rsidR="00032197">
        <w:rPr>
          <w:rFonts w:ascii="Public Sans" w:hAnsi="Public Sans"/>
          <w:sz w:val="20"/>
          <w:szCs w:val="20"/>
        </w:rPr>
        <w:t>E</w:t>
      </w:r>
      <w:r w:rsidRPr="00936523">
        <w:rPr>
          <w:rFonts w:ascii="Public Sans" w:hAnsi="Public Sans"/>
          <w:sz w:val="20"/>
          <w:szCs w:val="20"/>
        </w:rPr>
        <w:t xml:space="preserve">vidence must provide assurance that a </w:t>
      </w:r>
      <w:r w:rsidR="00BA2659">
        <w:rPr>
          <w:rFonts w:ascii="Public Sans" w:hAnsi="Public Sans"/>
          <w:sz w:val="20"/>
          <w:szCs w:val="20"/>
        </w:rPr>
        <w:t>WHSMS</w:t>
      </w:r>
      <w:r w:rsidRPr="00936523">
        <w:rPr>
          <w:rFonts w:ascii="Public Sans" w:hAnsi="Public Sans"/>
          <w:sz w:val="20"/>
          <w:szCs w:val="20"/>
        </w:rPr>
        <w:t xml:space="preserve"> </w:t>
      </w:r>
      <w:r w:rsidR="00BA2659">
        <w:rPr>
          <w:rFonts w:ascii="Public Sans" w:hAnsi="Public Sans"/>
          <w:sz w:val="20"/>
          <w:szCs w:val="20"/>
        </w:rPr>
        <w:t xml:space="preserve">or components of a WHSMS </w:t>
      </w:r>
      <w:r w:rsidRPr="00936523">
        <w:rPr>
          <w:rFonts w:ascii="Public Sans" w:hAnsi="Public Sans"/>
          <w:sz w:val="20"/>
          <w:szCs w:val="20"/>
        </w:rPr>
        <w:t>exist</w:t>
      </w:r>
      <w:r w:rsidR="00BA2659">
        <w:rPr>
          <w:rFonts w:ascii="Public Sans" w:hAnsi="Public Sans"/>
          <w:sz w:val="20"/>
          <w:szCs w:val="20"/>
        </w:rPr>
        <w:t xml:space="preserve"> or appear to be a process in practice</w:t>
      </w:r>
      <w:r w:rsidRPr="00936523">
        <w:rPr>
          <w:rFonts w:ascii="Public Sans" w:hAnsi="Public Sans"/>
          <w:sz w:val="20"/>
          <w:szCs w:val="20"/>
        </w:rPr>
        <w:t>. E</w:t>
      </w:r>
      <w:r w:rsidR="00370DA9">
        <w:rPr>
          <w:rFonts w:ascii="Public Sans" w:hAnsi="Public Sans"/>
          <w:sz w:val="20"/>
          <w:szCs w:val="20"/>
        </w:rPr>
        <w:t>vidence of each Contractor’s</w:t>
      </w:r>
      <w:r w:rsidRPr="00936523">
        <w:rPr>
          <w:rFonts w:ascii="Public Sans" w:hAnsi="Public Sans"/>
          <w:sz w:val="20"/>
          <w:szCs w:val="20"/>
        </w:rPr>
        <w:t xml:space="preserve"> WHSMS will be different due to the size and/or complexity of the </w:t>
      </w:r>
      <w:r w:rsidR="00370DA9">
        <w:rPr>
          <w:rFonts w:ascii="Public Sans" w:hAnsi="Public Sans"/>
          <w:sz w:val="20"/>
          <w:szCs w:val="20"/>
        </w:rPr>
        <w:t>C</w:t>
      </w:r>
      <w:r w:rsidRPr="00936523">
        <w:rPr>
          <w:rFonts w:ascii="Public Sans" w:hAnsi="Public Sans"/>
          <w:sz w:val="20"/>
          <w:szCs w:val="20"/>
        </w:rPr>
        <w:t>ontractor’s business operation and/or AS/NZS ISO certification.</w:t>
      </w:r>
    </w:p>
    <w:p w14:paraId="582E83D3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B8427D9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The WHSMS must be fit for purpose and may need to include evidence associated with:</w:t>
      </w:r>
    </w:p>
    <w:p w14:paraId="67F95C6A" w14:textId="32F96691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General risk management in </w:t>
      </w:r>
      <w:r w:rsidR="00032197">
        <w:rPr>
          <w:rFonts w:ascii="Public Sans" w:hAnsi="Public Sans"/>
          <w:sz w:val="20"/>
          <w:szCs w:val="20"/>
        </w:rPr>
        <w:t>providing the goods and services</w:t>
      </w:r>
      <w:r w:rsidR="00BA2659">
        <w:rPr>
          <w:rFonts w:ascii="Public Sans" w:hAnsi="Public Sans"/>
          <w:sz w:val="20"/>
          <w:szCs w:val="20"/>
        </w:rPr>
        <w:t>, this is essential for any Work</w:t>
      </w:r>
      <w:r w:rsidR="001B024E">
        <w:rPr>
          <w:rFonts w:ascii="Public Sans" w:hAnsi="Public Sans"/>
          <w:sz w:val="20"/>
          <w:szCs w:val="20"/>
        </w:rPr>
        <w:t xml:space="preserve"> and includes emergency procedures (see note below)</w:t>
      </w:r>
    </w:p>
    <w:p w14:paraId="645B2B44" w14:textId="6B673251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Managing hazardous work</w:t>
      </w:r>
      <w:r w:rsidR="00BA2659">
        <w:rPr>
          <w:rFonts w:ascii="Public Sans" w:hAnsi="Public Sans"/>
          <w:sz w:val="20"/>
          <w:szCs w:val="20"/>
        </w:rPr>
        <w:t>, if applicable, which includes noise, manual tasks, confined space entry, falls, demolition work, electrical work and diving services (also refer to Appendix 2 – Managing repairs and maintenance contractors for more information)</w:t>
      </w:r>
    </w:p>
    <w:p w14:paraId="1897CAF7" w14:textId="17E70C95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Plant and equipment operations</w:t>
      </w:r>
      <w:r w:rsidR="00032197">
        <w:rPr>
          <w:rFonts w:ascii="Public Sans" w:hAnsi="Public Sans"/>
          <w:sz w:val="20"/>
          <w:szCs w:val="20"/>
        </w:rPr>
        <w:t>, for example the goods</w:t>
      </w:r>
      <w:r w:rsidR="008F5D74">
        <w:rPr>
          <w:rFonts w:ascii="Public Sans" w:hAnsi="Public Sans"/>
          <w:sz w:val="20"/>
          <w:szCs w:val="20"/>
        </w:rPr>
        <w:t>/services</w:t>
      </w:r>
      <w:r w:rsidR="00032197">
        <w:rPr>
          <w:rFonts w:ascii="Public Sans" w:hAnsi="Public Sans"/>
          <w:sz w:val="20"/>
          <w:szCs w:val="20"/>
        </w:rPr>
        <w:t xml:space="preserve"> provider may operate a forklift with</w:t>
      </w:r>
      <w:r w:rsidR="00BA2659">
        <w:rPr>
          <w:rFonts w:ascii="Public Sans" w:hAnsi="Public Sans"/>
          <w:sz w:val="20"/>
          <w:szCs w:val="20"/>
        </w:rPr>
        <w:t>in</w:t>
      </w:r>
      <w:r w:rsidR="00032197">
        <w:rPr>
          <w:rFonts w:ascii="Public Sans" w:hAnsi="Public Sans"/>
          <w:sz w:val="20"/>
          <w:szCs w:val="20"/>
        </w:rPr>
        <w:t xml:space="preserve"> the workplace when delivering goods</w:t>
      </w:r>
      <w:r w:rsidR="008F5D74">
        <w:rPr>
          <w:rFonts w:ascii="Public Sans" w:hAnsi="Public Sans"/>
          <w:sz w:val="20"/>
          <w:szCs w:val="20"/>
        </w:rPr>
        <w:t>/services</w:t>
      </w:r>
      <w:r w:rsidR="00032197">
        <w:rPr>
          <w:rFonts w:ascii="Public Sans" w:hAnsi="Public Sans"/>
          <w:sz w:val="20"/>
          <w:szCs w:val="20"/>
        </w:rPr>
        <w:t xml:space="preserve"> to the University</w:t>
      </w:r>
    </w:p>
    <w:p w14:paraId="1252117E" w14:textId="26826023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Construction work including high risk construction work</w:t>
      </w:r>
      <w:r w:rsidR="008F5D74">
        <w:rPr>
          <w:rFonts w:ascii="Public Sans" w:hAnsi="Public Sans"/>
          <w:sz w:val="20"/>
          <w:szCs w:val="20"/>
        </w:rPr>
        <w:t>, noted here so you check the Work is not construction work, review Appendix 1 – Managing construction contractors</w:t>
      </w:r>
    </w:p>
    <w:p w14:paraId="7175C53E" w14:textId="0DA32997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Principle contractor duties</w:t>
      </w:r>
      <w:r w:rsidR="008F5D74">
        <w:rPr>
          <w:rFonts w:ascii="Public Sans" w:hAnsi="Public Sans"/>
          <w:sz w:val="20"/>
          <w:szCs w:val="20"/>
        </w:rPr>
        <w:t>, note comment above</w:t>
      </w:r>
    </w:p>
    <w:p w14:paraId="4E1CDDC0" w14:textId="719C1CCC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WHS management plan template for construction projects, noting a site specific WHS management plan must be prepared prior to construction project work commencing</w:t>
      </w:r>
      <w:r w:rsidR="008F5D74">
        <w:rPr>
          <w:rFonts w:ascii="Public Sans" w:hAnsi="Public Sans"/>
          <w:sz w:val="20"/>
          <w:szCs w:val="20"/>
        </w:rPr>
        <w:t>, note comment above</w:t>
      </w:r>
    </w:p>
    <w:p w14:paraId="4473DCE6" w14:textId="7BCDAD03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Hazardous chemical management</w:t>
      </w:r>
      <w:r w:rsidR="008F5D74">
        <w:rPr>
          <w:rFonts w:ascii="Public Sans" w:hAnsi="Public Sans"/>
          <w:sz w:val="20"/>
          <w:szCs w:val="20"/>
        </w:rPr>
        <w:t xml:space="preserve">, </w:t>
      </w:r>
      <w:r w:rsidR="00D155A0">
        <w:rPr>
          <w:rFonts w:ascii="Public Sans" w:hAnsi="Public Sans"/>
          <w:sz w:val="20"/>
          <w:szCs w:val="20"/>
        </w:rPr>
        <w:t xml:space="preserve">this may be </w:t>
      </w:r>
      <w:r w:rsidR="008F5D74">
        <w:rPr>
          <w:rFonts w:ascii="Public Sans" w:hAnsi="Public Sans"/>
          <w:sz w:val="20"/>
          <w:szCs w:val="20"/>
        </w:rPr>
        <w:t xml:space="preserve">applicable for delivery of hazardous chemical substances, there may be a requirement to comply with Regulations governing </w:t>
      </w:r>
      <w:r w:rsidR="00D155A0" w:rsidRPr="00774DD8">
        <w:rPr>
          <w:rFonts w:ascii="Public Sans" w:hAnsi="Public Sans"/>
          <w:bCs/>
          <w:sz w:val="20"/>
          <w:szCs w:val="20"/>
        </w:rPr>
        <w:t xml:space="preserve">the design, manufacture, import and/or supply of plant, </w:t>
      </w:r>
      <w:r w:rsidR="00D155A0" w:rsidRPr="00D155A0">
        <w:rPr>
          <w:rFonts w:ascii="Public Sans" w:hAnsi="Public Sans"/>
          <w:b/>
          <w:sz w:val="20"/>
          <w:szCs w:val="20"/>
        </w:rPr>
        <w:t>substances</w:t>
      </w:r>
      <w:r w:rsidR="00D155A0" w:rsidRPr="00774DD8">
        <w:rPr>
          <w:rFonts w:ascii="Public Sans" w:hAnsi="Public Sans"/>
          <w:bCs/>
          <w:sz w:val="20"/>
          <w:szCs w:val="20"/>
        </w:rPr>
        <w:t xml:space="preserve"> or structures</w:t>
      </w:r>
    </w:p>
    <w:p w14:paraId="2BEE4EB4" w14:textId="3ED515C2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Work involving asbestos</w:t>
      </w:r>
      <w:r w:rsidR="00D155A0">
        <w:rPr>
          <w:rFonts w:ascii="Public Sans" w:hAnsi="Public Sans"/>
          <w:sz w:val="20"/>
          <w:szCs w:val="20"/>
        </w:rPr>
        <w:t xml:space="preserve"> and silica, if this is the case you need to review the information related to construction and repairs and maintenance work</w:t>
      </w:r>
      <w:r w:rsidR="00194D42">
        <w:rPr>
          <w:rFonts w:ascii="Public Sans" w:hAnsi="Public Sans"/>
          <w:sz w:val="20"/>
          <w:szCs w:val="20"/>
        </w:rPr>
        <w:t xml:space="preserve"> (see Appendices 1 and 2)</w:t>
      </w:r>
    </w:p>
    <w:p w14:paraId="704E1F7D" w14:textId="27D57E0A" w:rsidR="00936523" w:rsidRPr="00936523" w:rsidRDefault="00936523" w:rsidP="00B10B24">
      <w:pPr>
        <w:pStyle w:val="ListParagraph"/>
        <w:numPr>
          <w:ilvl w:val="1"/>
          <w:numId w:val="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Safety management of sub-contractors</w:t>
      </w:r>
      <w:r w:rsidR="00D155A0">
        <w:rPr>
          <w:rFonts w:ascii="Public Sans" w:hAnsi="Public Sans"/>
          <w:sz w:val="20"/>
          <w:szCs w:val="20"/>
        </w:rPr>
        <w:t xml:space="preserve">, </w:t>
      </w:r>
      <w:r w:rsidR="00A65F62">
        <w:rPr>
          <w:rFonts w:ascii="Public Sans" w:hAnsi="Public Sans"/>
          <w:sz w:val="20"/>
          <w:szCs w:val="20"/>
        </w:rPr>
        <w:t xml:space="preserve">in relation to </w:t>
      </w:r>
      <w:r w:rsidR="00D155A0">
        <w:rPr>
          <w:rFonts w:ascii="Public Sans" w:hAnsi="Public Sans"/>
          <w:sz w:val="20"/>
          <w:szCs w:val="20"/>
        </w:rPr>
        <w:t>how the head contractor manages the safety performance of its sub-contractors</w:t>
      </w:r>
      <w:r w:rsidR="00194D42">
        <w:rPr>
          <w:rFonts w:ascii="Public Sans" w:hAnsi="Public Sans"/>
          <w:sz w:val="20"/>
          <w:szCs w:val="20"/>
        </w:rPr>
        <w:t xml:space="preserve"> (this is an issue where most problems or safety incidents occur – involving sub-contractors)</w:t>
      </w:r>
      <w:r w:rsidR="00D155A0">
        <w:rPr>
          <w:rFonts w:ascii="Public Sans" w:hAnsi="Public Sans"/>
          <w:sz w:val="20"/>
          <w:szCs w:val="20"/>
        </w:rPr>
        <w:t>.</w:t>
      </w:r>
    </w:p>
    <w:p w14:paraId="001ADEEC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6E618AC" w14:textId="77777777" w:rsidR="0020662A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Note: </w:t>
      </w:r>
    </w:p>
    <w:p w14:paraId="21E6B56A" w14:textId="1A7AF451" w:rsidR="00936523" w:rsidRPr="0020662A" w:rsidRDefault="00936523" w:rsidP="00B10B24">
      <w:pPr>
        <w:pStyle w:val="ListParagraph"/>
        <w:numPr>
          <w:ilvl w:val="0"/>
          <w:numId w:val="12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 xml:space="preserve">The contractor’s emergency procedures (or other WHSMS section) must identify the following </w:t>
      </w:r>
      <w:r w:rsidR="00924D6E">
        <w:rPr>
          <w:rFonts w:ascii="Public Sans" w:hAnsi="Public Sans"/>
          <w:sz w:val="20"/>
          <w:szCs w:val="20"/>
        </w:rPr>
        <w:t>key information related to</w:t>
      </w:r>
      <w:r w:rsidRPr="0020662A">
        <w:rPr>
          <w:rFonts w:ascii="Public Sans" w:hAnsi="Public Sans"/>
          <w:sz w:val="20"/>
          <w:szCs w:val="20"/>
        </w:rPr>
        <w:t xml:space="preserve"> reporting WHS incidents to the University:</w:t>
      </w:r>
    </w:p>
    <w:p w14:paraId="2ACA6765" w14:textId="5D70CBC9" w:rsidR="00936523" w:rsidRPr="00936523" w:rsidRDefault="001027AC" w:rsidP="00B10B24">
      <w:pPr>
        <w:pStyle w:val="ListParagraph"/>
        <w:numPr>
          <w:ilvl w:val="1"/>
          <w:numId w:val="10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WHS incidents to the University as soon as practical</w:t>
      </w:r>
    </w:p>
    <w:p w14:paraId="31ED6549" w14:textId="745B7555" w:rsidR="00936523" w:rsidRPr="00936523" w:rsidRDefault="001027AC" w:rsidP="00B10B24">
      <w:pPr>
        <w:pStyle w:val="ListParagraph"/>
        <w:numPr>
          <w:ilvl w:val="1"/>
          <w:numId w:val="10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notifiable incidents to the University immediately, the University will notify the Commonwealth WHS regulator</w:t>
      </w:r>
      <w:r w:rsidR="00771066">
        <w:rPr>
          <w:rFonts w:ascii="Public Sans" w:hAnsi="Public Sans"/>
          <w:sz w:val="20"/>
          <w:szCs w:val="20"/>
        </w:rPr>
        <w:t>,</w:t>
      </w:r>
      <w:r w:rsidR="00936523" w:rsidRPr="00936523">
        <w:rPr>
          <w:rFonts w:ascii="Public Sans" w:hAnsi="Public Sans"/>
          <w:sz w:val="20"/>
          <w:szCs w:val="20"/>
        </w:rPr>
        <w:t xml:space="preserve"> Comcare</w:t>
      </w:r>
    </w:p>
    <w:p w14:paraId="7B5361F4" w14:textId="0739B535" w:rsidR="00936523" w:rsidRPr="00936523" w:rsidRDefault="001027AC" w:rsidP="00B10B24">
      <w:pPr>
        <w:pStyle w:val="ListParagraph"/>
        <w:numPr>
          <w:ilvl w:val="1"/>
          <w:numId w:val="10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</w:t>
      </w:r>
      <w:r w:rsidR="00936523" w:rsidRPr="00936523">
        <w:rPr>
          <w:rFonts w:ascii="Public Sans" w:hAnsi="Public Sans"/>
          <w:sz w:val="20"/>
          <w:szCs w:val="20"/>
        </w:rPr>
        <w:t>ecure the work site involving a notifiable incident until it is released by Comcare</w:t>
      </w:r>
      <w:r w:rsidR="00771066">
        <w:rPr>
          <w:rFonts w:ascii="Public Sans" w:hAnsi="Public Sans"/>
          <w:sz w:val="20"/>
          <w:szCs w:val="20"/>
        </w:rPr>
        <w:t xml:space="preserve"> and/or the University</w:t>
      </w:r>
      <w:r w:rsidR="00936523" w:rsidRPr="00936523">
        <w:rPr>
          <w:rFonts w:ascii="Public Sans" w:hAnsi="Public Sans"/>
          <w:sz w:val="20"/>
          <w:szCs w:val="20"/>
        </w:rPr>
        <w:t>.</w:t>
      </w:r>
    </w:p>
    <w:p w14:paraId="779E2B79" w14:textId="77777777" w:rsidR="00065033" w:rsidRPr="00936523" w:rsidRDefault="0006503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AD91B40" w14:textId="1573EB21" w:rsidR="00936523" w:rsidRPr="0020662A" w:rsidRDefault="00936523" w:rsidP="00B10B24">
      <w:pPr>
        <w:pStyle w:val="ListParagraph"/>
        <w:numPr>
          <w:ilvl w:val="0"/>
          <w:numId w:val="12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>For reference, the contractor may include University contact details such as:</w:t>
      </w:r>
    </w:p>
    <w:p w14:paraId="15F72F88" w14:textId="1DCDDC7A" w:rsidR="00936523" w:rsidRPr="00936523" w:rsidRDefault="001027AC" w:rsidP="00B10B24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heir </w:t>
      </w:r>
      <w:proofErr w:type="gramStart"/>
      <w:r w:rsidR="00936523" w:rsidRPr="00936523">
        <w:rPr>
          <w:rFonts w:ascii="Public Sans" w:hAnsi="Public Sans"/>
          <w:sz w:val="20"/>
          <w:szCs w:val="20"/>
        </w:rPr>
        <w:t>University</w:t>
      </w:r>
      <w:proofErr w:type="gramEnd"/>
      <w:r w:rsidR="00936523" w:rsidRPr="00936523">
        <w:rPr>
          <w:rFonts w:ascii="Public Sans" w:hAnsi="Public Sans"/>
          <w:sz w:val="20"/>
          <w:szCs w:val="20"/>
        </w:rPr>
        <w:t xml:space="preserve"> contract manager or representative</w:t>
      </w:r>
    </w:p>
    <w:p w14:paraId="46E7409C" w14:textId="4F9789E4" w:rsidR="00936523" w:rsidRPr="00936523" w:rsidRDefault="001027AC" w:rsidP="00B10B24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elephone Safety and Wellbeing direct on 0406 403 025, </w:t>
      </w:r>
      <w:r>
        <w:rPr>
          <w:rFonts w:ascii="Public Sans" w:hAnsi="Public Sans"/>
          <w:sz w:val="20"/>
          <w:szCs w:val="20"/>
        </w:rPr>
        <w:t>and/</w:t>
      </w:r>
      <w:r w:rsidR="00936523" w:rsidRPr="00936523">
        <w:rPr>
          <w:rFonts w:ascii="Public Sans" w:hAnsi="Public Sans"/>
          <w:sz w:val="20"/>
          <w:szCs w:val="20"/>
        </w:rPr>
        <w:t>or</w:t>
      </w:r>
    </w:p>
    <w:p w14:paraId="2E257842" w14:textId="05B3B580" w:rsidR="00936523" w:rsidRPr="00936523" w:rsidRDefault="001027AC" w:rsidP="00B10B24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</w:t>
      </w:r>
      <w:r w:rsidR="00936523" w:rsidRPr="00936523">
        <w:rPr>
          <w:rFonts w:ascii="Public Sans" w:hAnsi="Public Sans"/>
          <w:sz w:val="20"/>
          <w:szCs w:val="20"/>
        </w:rPr>
        <w:t>mail to whs@anu.edu.au.</w:t>
      </w:r>
    </w:p>
    <w:p w14:paraId="4267C0F6" w14:textId="77777777" w:rsidR="00936523" w:rsidRDefault="00936523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2C78973" w14:textId="77777777" w:rsidR="00194D42" w:rsidRDefault="00194D42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7342EEF0" w14:textId="77777777" w:rsidR="007E68BC" w:rsidRDefault="007E68BC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0142BA8" w14:textId="2DF6E1D8" w:rsidR="001C1787" w:rsidRPr="001C1787" w:rsidRDefault="001C1787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1C1787">
        <w:rPr>
          <w:rFonts w:ascii="Public Sans" w:hAnsi="Public Sans"/>
          <w:b/>
          <w:bCs/>
          <w:sz w:val="20"/>
          <w:szCs w:val="20"/>
        </w:rPr>
        <w:t xml:space="preserve">Risk management </w:t>
      </w:r>
    </w:p>
    <w:p w14:paraId="281FA65D" w14:textId="77777777" w:rsidR="001C1787" w:rsidRDefault="001C1787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949730C" w14:textId="7CA99A20" w:rsidR="00EF33EB" w:rsidRPr="00A75FE0" w:rsidRDefault="00EF33EB" w:rsidP="00EF33EB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</w:t>
      </w:r>
      <w:r w:rsidR="001C328C">
        <w:rPr>
          <w:rFonts w:ascii="Public Sans" w:hAnsi="Public Sans"/>
          <w:sz w:val="20"/>
          <w:szCs w:val="20"/>
        </w:rPr>
        <w:t xml:space="preserve">must </w:t>
      </w:r>
      <w:r w:rsidRPr="00A75FE0">
        <w:rPr>
          <w:rFonts w:ascii="Public Sans" w:hAnsi="Public Sans"/>
          <w:sz w:val="20"/>
          <w:szCs w:val="20"/>
        </w:rPr>
        <w:t xml:space="preserve">confirm procedure(s) exist to identify hazards, to assess risks and implement control measures </w:t>
      </w:r>
      <w:r>
        <w:rPr>
          <w:rFonts w:ascii="Public Sans" w:hAnsi="Public Sans"/>
          <w:sz w:val="20"/>
          <w:szCs w:val="20"/>
        </w:rPr>
        <w:t>i</w:t>
      </w:r>
      <w:r w:rsidRPr="00A75FE0">
        <w:rPr>
          <w:rFonts w:ascii="Public Sans" w:hAnsi="Public Sans"/>
          <w:sz w:val="20"/>
          <w:szCs w:val="20"/>
        </w:rPr>
        <w:t xml:space="preserve">n relation to the </w:t>
      </w:r>
      <w:r w:rsidR="0082624D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>.</w:t>
      </w:r>
      <w:r w:rsidR="001C328C">
        <w:rPr>
          <w:rFonts w:ascii="Public Sans" w:hAnsi="Public Sans"/>
          <w:sz w:val="20"/>
          <w:szCs w:val="20"/>
        </w:rPr>
        <w:t xml:space="preserve"> </w:t>
      </w:r>
      <w:r w:rsidR="00CC2B4E">
        <w:rPr>
          <w:rFonts w:ascii="Public Sans" w:hAnsi="Public Sans"/>
          <w:sz w:val="20"/>
          <w:szCs w:val="20"/>
        </w:rPr>
        <w:t xml:space="preserve">The focus of </w:t>
      </w:r>
      <w:r w:rsidR="00214F89">
        <w:rPr>
          <w:rFonts w:ascii="Public Sans" w:hAnsi="Public Sans"/>
          <w:sz w:val="20"/>
          <w:szCs w:val="20"/>
        </w:rPr>
        <w:t xml:space="preserve">the nominated </w:t>
      </w:r>
      <w:r w:rsidR="00CC2B4E">
        <w:rPr>
          <w:rFonts w:ascii="Public Sans" w:hAnsi="Public Sans"/>
          <w:sz w:val="20"/>
          <w:szCs w:val="20"/>
        </w:rPr>
        <w:t xml:space="preserve">control measures must be to either eliminate </w:t>
      </w:r>
      <w:r w:rsidR="00BC393B">
        <w:rPr>
          <w:rFonts w:ascii="Public Sans" w:hAnsi="Public Sans"/>
          <w:sz w:val="20"/>
          <w:szCs w:val="20"/>
        </w:rPr>
        <w:t>or</w:t>
      </w:r>
      <w:r w:rsidR="00CC2B4E">
        <w:rPr>
          <w:rFonts w:ascii="Public Sans" w:hAnsi="Public Sans"/>
          <w:sz w:val="20"/>
          <w:szCs w:val="20"/>
        </w:rPr>
        <w:t xml:space="preserve"> minimise the risk of harm</w:t>
      </w:r>
      <w:r w:rsidR="006E0465">
        <w:rPr>
          <w:rFonts w:ascii="Public Sans" w:hAnsi="Public Sans"/>
          <w:sz w:val="20"/>
          <w:szCs w:val="20"/>
        </w:rPr>
        <w:t xml:space="preserve">, in so far as is reasonably practicable, with reference to the </w:t>
      </w:r>
      <w:hyperlink r:id="rId17" w:history="1">
        <w:r w:rsidR="006E0465" w:rsidRPr="006E0465">
          <w:rPr>
            <w:rStyle w:val="Hyperlink"/>
            <w:rFonts w:ascii="Public Sans" w:hAnsi="Public Sans"/>
            <w:sz w:val="20"/>
            <w:szCs w:val="20"/>
          </w:rPr>
          <w:t>hierarchy of controls</w:t>
        </w:r>
      </w:hyperlink>
      <w:r w:rsidR="006E0465">
        <w:rPr>
          <w:rFonts w:ascii="Public Sans" w:hAnsi="Public Sans"/>
          <w:sz w:val="20"/>
          <w:szCs w:val="20"/>
        </w:rPr>
        <w:t>.</w:t>
      </w:r>
    </w:p>
    <w:p w14:paraId="01CF5B38" w14:textId="774AE1E1" w:rsidR="00EF33EB" w:rsidRPr="009E06CD" w:rsidRDefault="00EF33EB" w:rsidP="009E06CD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E06CD">
        <w:rPr>
          <w:rFonts w:ascii="Public Sans" w:hAnsi="Public Sans"/>
          <w:sz w:val="20"/>
          <w:szCs w:val="20"/>
        </w:rPr>
        <w:t xml:space="preserve">Risk management evidence must be fit for purpose </w:t>
      </w:r>
      <w:r w:rsidR="00CC46AF" w:rsidRPr="009E06CD">
        <w:rPr>
          <w:rFonts w:ascii="Public Sans" w:hAnsi="Public Sans"/>
          <w:sz w:val="20"/>
          <w:szCs w:val="20"/>
        </w:rPr>
        <w:t xml:space="preserve">in relation to </w:t>
      </w:r>
      <w:r w:rsidR="00C14953" w:rsidRPr="009E06CD">
        <w:rPr>
          <w:rFonts w:ascii="Public Sans" w:hAnsi="Public Sans"/>
          <w:sz w:val="20"/>
          <w:szCs w:val="20"/>
        </w:rPr>
        <w:t xml:space="preserve">the </w:t>
      </w:r>
      <w:r w:rsidR="00194D42">
        <w:rPr>
          <w:rFonts w:ascii="Public Sans" w:hAnsi="Public Sans"/>
          <w:sz w:val="20"/>
          <w:szCs w:val="20"/>
        </w:rPr>
        <w:t>Work</w:t>
      </w:r>
      <w:r w:rsidR="005C1808" w:rsidRPr="009E06CD">
        <w:rPr>
          <w:rFonts w:ascii="Public Sans" w:hAnsi="Public Sans"/>
          <w:sz w:val="20"/>
          <w:szCs w:val="20"/>
        </w:rPr>
        <w:t xml:space="preserve"> and </w:t>
      </w:r>
      <w:r w:rsidR="00194D42">
        <w:rPr>
          <w:rFonts w:ascii="Public Sans" w:hAnsi="Public Sans"/>
          <w:sz w:val="20"/>
          <w:szCs w:val="20"/>
        </w:rPr>
        <w:t>may</w:t>
      </w:r>
      <w:r w:rsidR="005C1808" w:rsidRPr="009E06CD">
        <w:rPr>
          <w:rFonts w:ascii="Public Sans" w:hAnsi="Public Sans"/>
          <w:sz w:val="20"/>
          <w:szCs w:val="20"/>
        </w:rPr>
        <w:t xml:space="preserve"> include these</w:t>
      </w:r>
      <w:r w:rsidR="00C14953" w:rsidRPr="009E06CD">
        <w:rPr>
          <w:rFonts w:ascii="Public Sans" w:hAnsi="Public Sans"/>
          <w:sz w:val="20"/>
          <w:szCs w:val="20"/>
        </w:rPr>
        <w:t xml:space="preserve"> </w:t>
      </w:r>
      <w:r w:rsidR="008855F3">
        <w:rPr>
          <w:rFonts w:ascii="Public Sans" w:hAnsi="Public Sans"/>
          <w:sz w:val="20"/>
          <w:szCs w:val="20"/>
        </w:rPr>
        <w:t xml:space="preserve">practical </w:t>
      </w:r>
      <w:r w:rsidR="00C14953" w:rsidRPr="009E06CD">
        <w:rPr>
          <w:rFonts w:ascii="Public Sans" w:hAnsi="Public Sans"/>
          <w:sz w:val="20"/>
          <w:szCs w:val="20"/>
        </w:rPr>
        <w:t>features or aspects:</w:t>
      </w:r>
    </w:p>
    <w:p w14:paraId="2B3E44E3" w14:textId="42F7C2FB" w:rsidR="00BC393B" w:rsidRDefault="00BC393B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Risk register</w:t>
      </w:r>
      <w:r w:rsidR="00846124">
        <w:rPr>
          <w:rFonts w:ascii="Public Sans" w:hAnsi="Public Sans"/>
          <w:sz w:val="20"/>
          <w:szCs w:val="20"/>
        </w:rPr>
        <w:t xml:space="preserve"> and/or risk assessments</w:t>
      </w:r>
    </w:p>
    <w:p w14:paraId="20189959" w14:textId="7990604F" w:rsidR="00261236" w:rsidRPr="00A75FE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Safe work method statements (SWMS), ensure SWMS are specific to the </w:t>
      </w:r>
      <w:r w:rsidR="00194D42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 xml:space="preserve"> and are compliant with State/Territory WHS regulations.</w:t>
      </w:r>
    </w:p>
    <w:p w14:paraId="6ABFAB2B" w14:textId="77777777" w:rsidR="00261236" w:rsidRPr="00A75FE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Job safety analysis</w:t>
      </w:r>
      <w:r>
        <w:rPr>
          <w:rFonts w:ascii="Public Sans" w:hAnsi="Public Sans"/>
          <w:sz w:val="20"/>
          <w:szCs w:val="20"/>
        </w:rPr>
        <w:t xml:space="preserve"> (JSA)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6168788" w14:textId="77777777" w:rsidR="00261236" w:rsidRPr="00A75FE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Safe work processes and/or procedures</w:t>
      </w:r>
      <w:r>
        <w:rPr>
          <w:rFonts w:ascii="Public Sans" w:hAnsi="Public Sans"/>
          <w:sz w:val="20"/>
          <w:szCs w:val="20"/>
        </w:rPr>
        <w:t xml:space="preserve"> (SWP)</w:t>
      </w:r>
      <w:r w:rsidRPr="00A75FE0">
        <w:rPr>
          <w:rFonts w:ascii="Public Sans" w:hAnsi="Public Sans"/>
          <w:sz w:val="20"/>
          <w:szCs w:val="20"/>
        </w:rPr>
        <w:t>.</w:t>
      </w:r>
    </w:p>
    <w:p w14:paraId="395A505C" w14:textId="77777777" w:rsidR="00261236" w:rsidRPr="00A75FE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Take 5 processes</w:t>
      </w:r>
      <w:r>
        <w:rPr>
          <w:rFonts w:ascii="Public Sans" w:hAnsi="Public Sans"/>
          <w:sz w:val="20"/>
          <w:szCs w:val="20"/>
        </w:rPr>
        <w:t xml:space="preserve"> (T5)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8C9BF19" w14:textId="77777777" w:rsidR="00261236" w:rsidRPr="00A75FE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Pre-start checks.</w:t>
      </w:r>
    </w:p>
    <w:p w14:paraId="68ABC851" w14:textId="77777777" w:rsidR="006A43F0" w:rsidRDefault="00261236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Electrical testing of RCDs</w:t>
      </w:r>
    </w:p>
    <w:p w14:paraId="082382B1" w14:textId="3DF35F16" w:rsidR="009015E2" w:rsidRDefault="009015E2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Emergency response and incident reporting</w:t>
      </w:r>
    </w:p>
    <w:p w14:paraId="4EB50E94" w14:textId="5DB80607" w:rsidR="00261236" w:rsidRPr="00A75FE0" w:rsidRDefault="006A43F0" w:rsidP="00B10B24">
      <w:pPr>
        <w:numPr>
          <w:ilvl w:val="0"/>
          <w:numId w:val="13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Health monitoring</w:t>
      </w:r>
      <w:r w:rsidR="00194D42">
        <w:rPr>
          <w:rFonts w:ascii="Public Sans" w:hAnsi="Public Sans"/>
          <w:sz w:val="20"/>
          <w:szCs w:val="20"/>
        </w:rPr>
        <w:t>, if working with asbestos</w:t>
      </w:r>
      <w:r w:rsidR="00261236" w:rsidRPr="00A75FE0">
        <w:rPr>
          <w:rFonts w:ascii="Public Sans" w:hAnsi="Public Sans"/>
          <w:sz w:val="20"/>
          <w:szCs w:val="20"/>
        </w:rPr>
        <w:t>.</w:t>
      </w:r>
    </w:p>
    <w:p w14:paraId="2355CEB3" w14:textId="77777777" w:rsidR="00C14953" w:rsidRPr="00A75FE0" w:rsidRDefault="00C14953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DD489A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EE006AE" w14:textId="7DA3449B" w:rsidR="001C1787" w:rsidRPr="002B567E" w:rsidRDefault="00D67D0B" w:rsidP="00261236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 xml:space="preserve">Hazardous and </w:t>
      </w:r>
      <w:proofErr w:type="gramStart"/>
      <w:r>
        <w:rPr>
          <w:rFonts w:ascii="Public Sans" w:hAnsi="Public Sans"/>
          <w:b/>
          <w:bCs/>
          <w:sz w:val="20"/>
          <w:szCs w:val="20"/>
        </w:rPr>
        <w:t>h</w:t>
      </w:r>
      <w:r w:rsidR="00993F66" w:rsidRPr="005822B1">
        <w:rPr>
          <w:rFonts w:ascii="Public Sans" w:hAnsi="Public Sans"/>
          <w:b/>
          <w:bCs/>
          <w:sz w:val="20"/>
          <w:szCs w:val="20"/>
        </w:rPr>
        <w:t>igh risk</w:t>
      </w:r>
      <w:proofErr w:type="gramEnd"/>
      <w:r w:rsidR="00993F66" w:rsidRPr="005822B1">
        <w:rPr>
          <w:rFonts w:ascii="Public Sans" w:hAnsi="Public Sans"/>
          <w:b/>
          <w:bCs/>
          <w:sz w:val="20"/>
          <w:szCs w:val="20"/>
        </w:rPr>
        <w:t xml:space="preserve"> work</w:t>
      </w:r>
      <w:r w:rsidR="002B567E">
        <w:rPr>
          <w:rFonts w:ascii="Public Sans" w:hAnsi="Public Sans"/>
          <w:b/>
          <w:bCs/>
          <w:sz w:val="20"/>
          <w:szCs w:val="20"/>
        </w:rPr>
        <w:t xml:space="preserve"> </w:t>
      </w:r>
      <w:r w:rsidR="002B567E">
        <w:rPr>
          <w:rFonts w:ascii="Public Sans" w:hAnsi="Public Sans"/>
          <w:sz w:val="20"/>
          <w:szCs w:val="20"/>
        </w:rPr>
        <w:t>(if applicable)</w:t>
      </w:r>
    </w:p>
    <w:p w14:paraId="510310C7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472D648" w14:textId="5D5CAD62" w:rsidR="00DB257E" w:rsidRDefault="00B573C4" w:rsidP="00261236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</w:t>
      </w:r>
      <w:r w:rsidR="00DB257E">
        <w:rPr>
          <w:rFonts w:ascii="Public Sans" w:hAnsi="Public Sans"/>
          <w:sz w:val="20"/>
          <w:szCs w:val="20"/>
        </w:rPr>
        <w:t xml:space="preserve">onstruction work </w:t>
      </w:r>
      <w:r>
        <w:rPr>
          <w:rFonts w:ascii="Public Sans" w:hAnsi="Public Sans"/>
          <w:sz w:val="20"/>
          <w:szCs w:val="20"/>
        </w:rPr>
        <w:t>may include</w:t>
      </w:r>
      <w:r w:rsidR="00DB257E">
        <w:rPr>
          <w:rFonts w:ascii="Public Sans" w:hAnsi="Public Sans"/>
          <w:sz w:val="20"/>
          <w:szCs w:val="20"/>
        </w:rPr>
        <w:t xml:space="preserve"> </w:t>
      </w:r>
      <w:r w:rsidR="00D67D0B">
        <w:rPr>
          <w:rFonts w:ascii="Public Sans" w:hAnsi="Public Sans"/>
          <w:sz w:val="20"/>
          <w:szCs w:val="20"/>
        </w:rPr>
        <w:t xml:space="preserve">hazardous and/or </w:t>
      </w:r>
      <w:proofErr w:type="gramStart"/>
      <w:r w:rsidR="00DB257E">
        <w:rPr>
          <w:rFonts w:ascii="Public Sans" w:hAnsi="Public Sans"/>
          <w:sz w:val="20"/>
          <w:szCs w:val="20"/>
        </w:rPr>
        <w:t>high risk</w:t>
      </w:r>
      <w:proofErr w:type="gramEnd"/>
      <w:r w:rsidR="00DB257E">
        <w:rPr>
          <w:rFonts w:ascii="Public Sans" w:hAnsi="Public Sans"/>
          <w:sz w:val="20"/>
          <w:szCs w:val="20"/>
        </w:rPr>
        <w:t xml:space="preserve"> work (see </w:t>
      </w:r>
      <w:r w:rsidR="00B23826">
        <w:rPr>
          <w:rFonts w:ascii="Public Sans" w:hAnsi="Public Sans"/>
          <w:sz w:val="20"/>
          <w:szCs w:val="20"/>
        </w:rPr>
        <w:t>Chapter</w:t>
      </w:r>
      <w:r w:rsidR="00CE561A">
        <w:rPr>
          <w:rFonts w:ascii="Public Sans" w:hAnsi="Public Sans"/>
          <w:sz w:val="20"/>
          <w:szCs w:val="20"/>
        </w:rPr>
        <w:t>s</w:t>
      </w:r>
      <w:r w:rsidR="00B23826">
        <w:rPr>
          <w:rFonts w:ascii="Public Sans" w:hAnsi="Public Sans"/>
          <w:sz w:val="20"/>
          <w:szCs w:val="20"/>
        </w:rPr>
        <w:t xml:space="preserve"> 4</w:t>
      </w:r>
      <w:r w:rsidR="00CE561A">
        <w:rPr>
          <w:rFonts w:ascii="Public Sans" w:hAnsi="Public Sans"/>
          <w:sz w:val="20"/>
          <w:szCs w:val="20"/>
        </w:rPr>
        <w:t xml:space="preserve"> </w:t>
      </w:r>
      <w:r w:rsidR="009C15E8">
        <w:rPr>
          <w:rFonts w:ascii="Public Sans" w:hAnsi="Public Sans"/>
          <w:sz w:val="20"/>
          <w:szCs w:val="20"/>
        </w:rPr>
        <w:t>and 6</w:t>
      </w:r>
      <w:r>
        <w:rPr>
          <w:rFonts w:ascii="Public Sans" w:hAnsi="Public Sans"/>
          <w:sz w:val="20"/>
          <w:szCs w:val="20"/>
        </w:rPr>
        <w:t xml:space="preserve"> of the Regulations</w:t>
      </w:r>
      <w:r w:rsidR="00B23826">
        <w:rPr>
          <w:rFonts w:ascii="Public Sans" w:hAnsi="Public Sans"/>
          <w:sz w:val="20"/>
          <w:szCs w:val="20"/>
        </w:rPr>
        <w:t xml:space="preserve"> for more information</w:t>
      </w:r>
      <w:r>
        <w:rPr>
          <w:rFonts w:ascii="Public Sans" w:hAnsi="Public Sans"/>
          <w:sz w:val="20"/>
          <w:szCs w:val="20"/>
        </w:rPr>
        <w:t>)</w:t>
      </w:r>
      <w:r w:rsidR="00DB257E">
        <w:rPr>
          <w:rFonts w:ascii="Public Sans" w:hAnsi="Public Sans"/>
          <w:sz w:val="20"/>
          <w:szCs w:val="20"/>
        </w:rPr>
        <w:t>.</w:t>
      </w:r>
      <w:r>
        <w:rPr>
          <w:rFonts w:ascii="Public Sans" w:hAnsi="Public Sans"/>
          <w:sz w:val="20"/>
          <w:szCs w:val="20"/>
        </w:rPr>
        <w:t xml:space="preserve"> </w:t>
      </w:r>
      <w:r w:rsidR="00155875">
        <w:rPr>
          <w:rFonts w:ascii="Public Sans" w:hAnsi="Public Sans"/>
          <w:sz w:val="20"/>
          <w:szCs w:val="20"/>
        </w:rPr>
        <w:t xml:space="preserve">High risk work requires </w:t>
      </w:r>
      <w:r w:rsidR="005B19C5">
        <w:rPr>
          <w:rFonts w:ascii="Public Sans" w:hAnsi="Public Sans"/>
          <w:sz w:val="20"/>
          <w:szCs w:val="20"/>
        </w:rPr>
        <w:t xml:space="preserve">certain licencing to be </w:t>
      </w:r>
      <w:r w:rsidR="00054014">
        <w:rPr>
          <w:rFonts w:ascii="Public Sans" w:hAnsi="Public Sans"/>
          <w:sz w:val="20"/>
          <w:szCs w:val="20"/>
        </w:rPr>
        <w:t>obtained</w:t>
      </w:r>
      <w:r w:rsidR="005B19C5">
        <w:rPr>
          <w:rFonts w:ascii="Public Sans" w:hAnsi="Public Sans"/>
          <w:sz w:val="20"/>
          <w:szCs w:val="20"/>
        </w:rPr>
        <w:t xml:space="preserve"> </w:t>
      </w:r>
      <w:r w:rsidR="00E90B67">
        <w:rPr>
          <w:rFonts w:ascii="Public Sans" w:hAnsi="Public Sans"/>
          <w:sz w:val="20"/>
          <w:szCs w:val="20"/>
        </w:rPr>
        <w:t xml:space="preserve">by </w:t>
      </w:r>
      <w:r w:rsidR="005B19C5">
        <w:rPr>
          <w:rFonts w:ascii="Public Sans" w:hAnsi="Public Sans"/>
          <w:sz w:val="20"/>
          <w:szCs w:val="20"/>
        </w:rPr>
        <w:t xml:space="preserve">the worker </w:t>
      </w:r>
      <w:r w:rsidR="00054014">
        <w:rPr>
          <w:rFonts w:ascii="Public Sans" w:hAnsi="Public Sans"/>
          <w:sz w:val="20"/>
          <w:szCs w:val="20"/>
        </w:rPr>
        <w:t xml:space="preserve">who </w:t>
      </w:r>
      <w:r w:rsidR="005B19C5">
        <w:rPr>
          <w:rFonts w:ascii="Public Sans" w:hAnsi="Public Sans"/>
          <w:sz w:val="20"/>
          <w:szCs w:val="20"/>
        </w:rPr>
        <w:t>perform</w:t>
      </w:r>
      <w:r w:rsidR="00054014">
        <w:rPr>
          <w:rFonts w:ascii="Public Sans" w:hAnsi="Public Sans"/>
          <w:sz w:val="20"/>
          <w:szCs w:val="20"/>
        </w:rPr>
        <w:t>s</w:t>
      </w:r>
      <w:r w:rsidR="005B19C5">
        <w:rPr>
          <w:rFonts w:ascii="Public Sans" w:hAnsi="Public Sans"/>
          <w:sz w:val="20"/>
          <w:szCs w:val="20"/>
        </w:rPr>
        <w:t xml:space="preserve"> the </w:t>
      </w:r>
      <w:proofErr w:type="gramStart"/>
      <w:r w:rsidR="005B19C5">
        <w:rPr>
          <w:rFonts w:ascii="Public Sans" w:hAnsi="Public Sans"/>
          <w:sz w:val="20"/>
          <w:szCs w:val="20"/>
        </w:rPr>
        <w:t>high risk</w:t>
      </w:r>
      <w:proofErr w:type="gramEnd"/>
      <w:r w:rsidR="005B19C5">
        <w:rPr>
          <w:rFonts w:ascii="Public Sans" w:hAnsi="Public Sans"/>
          <w:sz w:val="20"/>
          <w:szCs w:val="20"/>
        </w:rPr>
        <w:t xml:space="preserve"> work.</w:t>
      </w:r>
    </w:p>
    <w:p w14:paraId="7C642F99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5A2C4B6D" w14:textId="7D7BB4BD" w:rsidR="00B23826" w:rsidRPr="00A75FE0" w:rsidRDefault="00B23826" w:rsidP="00B23826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would confirm the </w:t>
      </w:r>
      <w:r w:rsidR="00BE43D2">
        <w:rPr>
          <w:rFonts w:ascii="Public Sans" w:hAnsi="Public Sans"/>
          <w:sz w:val="20"/>
          <w:szCs w:val="20"/>
        </w:rPr>
        <w:t xml:space="preserve">type of hazardous and/or </w:t>
      </w:r>
      <w:proofErr w:type="gramStart"/>
      <w:r w:rsidR="00BE43D2">
        <w:rPr>
          <w:rFonts w:ascii="Public Sans" w:hAnsi="Public Sans"/>
          <w:sz w:val="20"/>
          <w:szCs w:val="20"/>
        </w:rPr>
        <w:t>high risk</w:t>
      </w:r>
      <w:proofErr w:type="gramEnd"/>
      <w:r w:rsidR="00BE43D2">
        <w:rPr>
          <w:rFonts w:ascii="Public Sans" w:hAnsi="Public Sans"/>
          <w:sz w:val="20"/>
          <w:szCs w:val="20"/>
        </w:rPr>
        <w:t xml:space="preserve"> work to be undertaken and how the Contractor assures</w:t>
      </w:r>
      <w:r w:rsidRPr="00A75FE0">
        <w:rPr>
          <w:rFonts w:ascii="Public Sans" w:hAnsi="Public Sans"/>
          <w:sz w:val="20"/>
          <w:szCs w:val="20"/>
        </w:rPr>
        <w:t xml:space="preserve"> compliance with the applicable State/Territory WHS legislation</w:t>
      </w:r>
      <w:r w:rsidR="00054014">
        <w:rPr>
          <w:rFonts w:ascii="Public Sans" w:hAnsi="Public Sans"/>
          <w:sz w:val="20"/>
          <w:szCs w:val="20"/>
        </w:rPr>
        <w:t>, including licencing of workers</w:t>
      </w:r>
      <w:r w:rsidRPr="00A75FE0">
        <w:rPr>
          <w:rFonts w:ascii="Public Sans" w:hAnsi="Public Sans"/>
          <w:sz w:val="20"/>
          <w:szCs w:val="20"/>
        </w:rPr>
        <w:t xml:space="preserve">. </w:t>
      </w:r>
    </w:p>
    <w:p w14:paraId="41AECFA4" w14:textId="14F0C27D" w:rsidR="00B23826" w:rsidRPr="00A75FE0" w:rsidRDefault="00054014" w:rsidP="00B23826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Some hazardous and/or </w:t>
      </w:r>
      <w:proofErr w:type="gramStart"/>
      <w:r w:rsidR="00A25A1C">
        <w:rPr>
          <w:rFonts w:ascii="Public Sans" w:hAnsi="Public Sans"/>
          <w:sz w:val="20"/>
          <w:szCs w:val="20"/>
        </w:rPr>
        <w:t>high risk</w:t>
      </w:r>
      <w:proofErr w:type="gramEnd"/>
      <w:r w:rsidR="00A25A1C">
        <w:rPr>
          <w:rFonts w:ascii="Public Sans" w:hAnsi="Public Sans"/>
          <w:sz w:val="20"/>
          <w:szCs w:val="20"/>
        </w:rPr>
        <w:t xml:space="preserve"> work also requires a safe work method statement (SWMS) to be created, reviewed, </w:t>
      </w:r>
      <w:r w:rsidR="000360B6">
        <w:rPr>
          <w:rFonts w:ascii="Public Sans" w:hAnsi="Public Sans"/>
          <w:sz w:val="20"/>
          <w:szCs w:val="20"/>
        </w:rPr>
        <w:t>available</w:t>
      </w:r>
      <w:r w:rsidR="00A25A1C">
        <w:rPr>
          <w:rFonts w:ascii="Public Sans" w:hAnsi="Public Sans"/>
          <w:sz w:val="20"/>
          <w:szCs w:val="20"/>
        </w:rPr>
        <w:t xml:space="preserve"> onsite and signed off by all workers performing the work.</w:t>
      </w:r>
      <w:r w:rsidR="000360B6">
        <w:rPr>
          <w:rFonts w:ascii="Public Sans" w:hAnsi="Public Sans"/>
          <w:sz w:val="20"/>
          <w:szCs w:val="20"/>
        </w:rPr>
        <w:t xml:space="preserve"> Specific regulations prescribe the use and application of SWMS, see </w:t>
      </w:r>
      <w:r w:rsidR="00F02F97">
        <w:rPr>
          <w:rFonts w:ascii="Public Sans" w:hAnsi="Public Sans"/>
          <w:sz w:val="20"/>
          <w:szCs w:val="20"/>
        </w:rPr>
        <w:t xml:space="preserve">Division 2 </w:t>
      </w:r>
      <w:r w:rsidR="00271D0A">
        <w:rPr>
          <w:rFonts w:ascii="Public Sans" w:hAnsi="Public Sans"/>
          <w:sz w:val="20"/>
          <w:szCs w:val="20"/>
        </w:rPr>
        <w:t>of the Regulations for more information. It is crucial the University verify S</w:t>
      </w:r>
      <w:r w:rsidR="00445D95">
        <w:rPr>
          <w:rFonts w:ascii="Public Sans" w:hAnsi="Public Sans"/>
          <w:sz w:val="20"/>
          <w:szCs w:val="20"/>
        </w:rPr>
        <w:t xml:space="preserve">WMS in use </w:t>
      </w:r>
      <w:r w:rsidR="00170F6F">
        <w:rPr>
          <w:rFonts w:ascii="Public Sans" w:hAnsi="Public Sans"/>
          <w:sz w:val="20"/>
          <w:szCs w:val="20"/>
        </w:rPr>
        <w:t xml:space="preserve">by the Contractor </w:t>
      </w:r>
      <w:r w:rsidR="0016205E">
        <w:rPr>
          <w:rFonts w:ascii="Public Sans" w:hAnsi="Public Sans"/>
          <w:sz w:val="20"/>
          <w:szCs w:val="20"/>
        </w:rPr>
        <w:t>for the Work</w:t>
      </w:r>
      <w:r w:rsidR="00170F6F">
        <w:rPr>
          <w:rFonts w:ascii="Public Sans" w:hAnsi="Public Sans"/>
          <w:sz w:val="20"/>
          <w:szCs w:val="20"/>
        </w:rPr>
        <w:t>,</w:t>
      </w:r>
      <w:r w:rsidR="0016205E">
        <w:rPr>
          <w:rFonts w:ascii="Public Sans" w:hAnsi="Public Sans"/>
          <w:sz w:val="20"/>
          <w:szCs w:val="20"/>
        </w:rPr>
        <w:t xml:space="preserve"> </w:t>
      </w:r>
      <w:r w:rsidR="00445D95">
        <w:rPr>
          <w:rFonts w:ascii="Public Sans" w:hAnsi="Public Sans"/>
          <w:sz w:val="20"/>
          <w:szCs w:val="20"/>
        </w:rPr>
        <w:t>are compliant.</w:t>
      </w:r>
    </w:p>
    <w:p w14:paraId="2E5664C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E4AE47C" w14:textId="6FC84C7D" w:rsidR="00B23826" w:rsidRPr="00897915" w:rsidRDefault="00C57920" w:rsidP="00261236">
      <w:pPr>
        <w:spacing w:after="0" w:line="240" w:lineRule="auto"/>
        <w:rPr>
          <w:rFonts w:ascii="Public Sans" w:hAnsi="Public Sans"/>
          <w:sz w:val="20"/>
          <w:szCs w:val="20"/>
        </w:rPr>
      </w:pPr>
      <w:r w:rsidRPr="00C57920">
        <w:rPr>
          <w:rFonts w:ascii="Public Sans" w:hAnsi="Public Sans"/>
          <w:b/>
          <w:bCs/>
          <w:sz w:val="20"/>
          <w:szCs w:val="20"/>
        </w:rPr>
        <w:t>Licensing</w:t>
      </w:r>
      <w:r w:rsidR="00897915">
        <w:rPr>
          <w:rFonts w:ascii="Public Sans" w:hAnsi="Public Sans"/>
          <w:b/>
          <w:bCs/>
          <w:sz w:val="20"/>
          <w:szCs w:val="20"/>
        </w:rPr>
        <w:t xml:space="preserve"> </w:t>
      </w:r>
      <w:r w:rsidR="00897915" w:rsidRPr="00897915">
        <w:rPr>
          <w:rFonts w:ascii="Public Sans" w:hAnsi="Public Sans"/>
          <w:sz w:val="20"/>
          <w:szCs w:val="20"/>
        </w:rPr>
        <w:t>(if required)</w:t>
      </w:r>
    </w:p>
    <w:p w14:paraId="401C33AA" w14:textId="77777777" w:rsidR="00C57920" w:rsidRDefault="00C57920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893F7DE" w14:textId="448066A1" w:rsidR="008777EE" w:rsidRDefault="000C0E0A" w:rsidP="000C0E0A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 evidence must v</w:t>
      </w:r>
      <w:r w:rsidR="00E23135">
        <w:rPr>
          <w:rFonts w:ascii="Public Sans" w:hAnsi="Public Sans"/>
          <w:sz w:val="20"/>
          <w:szCs w:val="20"/>
        </w:rPr>
        <w:t>erify</w:t>
      </w:r>
      <w:r w:rsidRPr="00A75FE0">
        <w:rPr>
          <w:rFonts w:ascii="Public Sans" w:hAnsi="Public Sans"/>
          <w:sz w:val="20"/>
          <w:szCs w:val="20"/>
        </w:rPr>
        <w:t xml:space="preserve"> the </w:t>
      </w:r>
      <w:r w:rsidR="003025CF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ontractor’s workers </w:t>
      </w:r>
      <w:r w:rsidR="003025CF">
        <w:rPr>
          <w:rFonts w:ascii="Public Sans" w:hAnsi="Public Sans"/>
          <w:sz w:val="20"/>
          <w:szCs w:val="20"/>
        </w:rPr>
        <w:t xml:space="preserve">(and sub-contractor workers) </w:t>
      </w:r>
      <w:r w:rsidRPr="00A75FE0">
        <w:rPr>
          <w:rFonts w:ascii="Public Sans" w:hAnsi="Public Sans"/>
          <w:sz w:val="20"/>
          <w:szCs w:val="20"/>
        </w:rPr>
        <w:t xml:space="preserve">are appropriately licenced to perform the </w:t>
      </w:r>
      <w:r w:rsidR="008777EE">
        <w:rPr>
          <w:rFonts w:ascii="Public Sans" w:hAnsi="Public Sans"/>
          <w:sz w:val="20"/>
          <w:szCs w:val="20"/>
        </w:rPr>
        <w:t>W</w:t>
      </w:r>
      <w:r w:rsidRPr="00A75FE0">
        <w:rPr>
          <w:rFonts w:ascii="Public Sans" w:hAnsi="Public Sans"/>
          <w:sz w:val="20"/>
          <w:szCs w:val="20"/>
        </w:rPr>
        <w:t>ork</w:t>
      </w:r>
      <w:r w:rsidR="008777EE"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in accordance with applicable State/Territory WHS legislation</w:t>
      </w:r>
      <w:r w:rsidR="008777EE">
        <w:rPr>
          <w:rFonts w:ascii="Public Sans" w:hAnsi="Public Sans"/>
          <w:sz w:val="20"/>
          <w:szCs w:val="20"/>
        </w:rPr>
        <w:t xml:space="preserve">. </w:t>
      </w:r>
      <w:r w:rsidR="007111A7">
        <w:rPr>
          <w:rFonts w:ascii="Public Sans" w:hAnsi="Public Sans"/>
          <w:sz w:val="20"/>
          <w:szCs w:val="20"/>
        </w:rPr>
        <w:t xml:space="preserve">Licensing includes that required by WHS regulations </w:t>
      </w:r>
      <w:r w:rsidR="009447C7">
        <w:rPr>
          <w:rFonts w:ascii="Public Sans" w:hAnsi="Public Sans"/>
          <w:sz w:val="20"/>
          <w:szCs w:val="20"/>
        </w:rPr>
        <w:t>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 xml:space="preserve">elevated work platform) </w:t>
      </w:r>
      <w:r w:rsidR="007111A7">
        <w:rPr>
          <w:rFonts w:ascii="Public Sans" w:hAnsi="Public Sans"/>
          <w:sz w:val="20"/>
          <w:szCs w:val="20"/>
        </w:rPr>
        <w:t>but also that required by trade groups</w:t>
      </w:r>
      <w:r w:rsidR="009447C7">
        <w:rPr>
          <w:rFonts w:ascii="Public Sans" w:hAnsi="Public Sans"/>
          <w:sz w:val="20"/>
          <w:szCs w:val="20"/>
        </w:rPr>
        <w:t xml:space="preserve"> 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>electrician)</w:t>
      </w:r>
      <w:r w:rsidR="007111A7">
        <w:rPr>
          <w:rFonts w:ascii="Public Sans" w:hAnsi="Public Sans"/>
          <w:sz w:val="20"/>
          <w:szCs w:val="20"/>
        </w:rPr>
        <w:t>.</w:t>
      </w:r>
    </w:p>
    <w:p w14:paraId="0C4826BE" w14:textId="3D6AB56E" w:rsidR="000C0E0A" w:rsidRPr="00A75FE0" w:rsidRDefault="00434EEA" w:rsidP="000C0E0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For e</w:t>
      </w:r>
      <w:r w:rsidR="00B813F0">
        <w:rPr>
          <w:rFonts w:ascii="Public Sans" w:hAnsi="Public Sans"/>
          <w:sz w:val="20"/>
          <w:szCs w:val="20"/>
        </w:rPr>
        <w:t>vidence which i</w:t>
      </w:r>
      <w:r w:rsidR="00144252">
        <w:rPr>
          <w:rFonts w:ascii="Public Sans" w:hAnsi="Public Sans"/>
          <w:sz w:val="20"/>
          <w:szCs w:val="20"/>
        </w:rPr>
        <w:t>ncludes</w:t>
      </w:r>
      <w:r w:rsidR="00B813F0">
        <w:rPr>
          <w:rFonts w:ascii="Public Sans" w:hAnsi="Public Sans"/>
          <w:sz w:val="20"/>
          <w:szCs w:val="20"/>
        </w:rPr>
        <w:t xml:space="preserve"> a </w:t>
      </w:r>
      <w:r w:rsidR="008777EE">
        <w:rPr>
          <w:rFonts w:ascii="Public Sans" w:hAnsi="Public Sans"/>
          <w:sz w:val="20"/>
          <w:szCs w:val="20"/>
        </w:rPr>
        <w:t xml:space="preserve">licensing </w:t>
      </w:r>
      <w:r w:rsidR="000C0E0A" w:rsidRPr="00A75FE0">
        <w:rPr>
          <w:rFonts w:ascii="Public Sans" w:hAnsi="Public Sans"/>
          <w:sz w:val="20"/>
          <w:szCs w:val="20"/>
        </w:rPr>
        <w:t>register</w:t>
      </w:r>
      <w:r w:rsidR="00090940">
        <w:rPr>
          <w:rFonts w:ascii="Public Sans" w:hAnsi="Public Sans"/>
          <w:sz w:val="20"/>
          <w:szCs w:val="20"/>
        </w:rPr>
        <w:t xml:space="preserve"> </w:t>
      </w:r>
      <w:r w:rsidR="000C0E0A" w:rsidRPr="00A75FE0">
        <w:rPr>
          <w:rFonts w:ascii="Public Sans" w:hAnsi="Public Sans"/>
          <w:sz w:val="20"/>
          <w:szCs w:val="20"/>
        </w:rPr>
        <w:t>list</w:t>
      </w:r>
      <w:r w:rsidR="00B813F0">
        <w:rPr>
          <w:rFonts w:ascii="Public Sans" w:hAnsi="Public Sans"/>
          <w:sz w:val="20"/>
          <w:szCs w:val="20"/>
        </w:rPr>
        <w:t>ing</w:t>
      </w:r>
      <w:r w:rsidR="000C0E0A" w:rsidRPr="00A75FE0">
        <w:rPr>
          <w:rFonts w:ascii="Public Sans" w:hAnsi="Public Sans"/>
          <w:sz w:val="20"/>
          <w:szCs w:val="20"/>
        </w:rPr>
        <w:t xml:space="preserve"> multiple workers, verify the licence requirement</w:t>
      </w:r>
      <w:r w:rsidR="008777EE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 xml:space="preserve"> and randomly sample </w:t>
      </w:r>
      <w:r w:rsidR="00E00AAF">
        <w:rPr>
          <w:rFonts w:ascii="Public Sans" w:hAnsi="Public Sans"/>
          <w:sz w:val="20"/>
          <w:szCs w:val="20"/>
        </w:rPr>
        <w:t xml:space="preserve">the </w:t>
      </w:r>
      <w:r w:rsidR="000C0E0A" w:rsidRPr="00A75FE0">
        <w:rPr>
          <w:rFonts w:ascii="Public Sans" w:hAnsi="Public Sans"/>
          <w:sz w:val="20"/>
          <w:szCs w:val="20"/>
        </w:rPr>
        <w:t xml:space="preserve">validity </w:t>
      </w:r>
      <w:r>
        <w:rPr>
          <w:rFonts w:ascii="Public Sans" w:hAnsi="Public Sans"/>
          <w:sz w:val="20"/>
          <w:szCs w:val="20"/>
        </w:rPr>
        <w:t>o</w:t>
      </w:r>
      <w:r w:rsidR="000C0E0A" w:rsidRPr="00A75FE0">
        <w:rPr>
          <w:rFonts w:ascii="Public Sans" w:hAnsi="Public Sans"/>
          <w:sz w:val="20"/>
          <w:szCs w:val="20"/>
        </w:rPr>
        <w:t xml:space="preserve">f such </w:t>
      </w:r>
      <w:r w:rsidR="00E00AAF">
        <w:rPr>
          <w:rFonts w:ascii="Public Sans" w:hAnsi="Public Sans"/>
          <w:sz w:val="20"/>
          <w:szCs w:val="20"/>
        </w:rPr>
        <w:t xml:space="preserve">through </w:t>
      </w:r>
      <w:r w:rsidR="00144252">
        <w:rPr>
          <w:rFonts w:ascii="Public Sans" w:hAnsi="Public Sans"/>
          <w:sz w:val="20"/>
          <w:szCs w:val="20"/>
        </w:rPr>
        <w:t xml:space="preserve">applicable </w:t>
      </w:r>
      <w:r w:rsidR="000C0E0A" w:rsidRPr="00A75FE0">
        <w:rPr>
          <w:rFonts w:ascii="Public Sans" w:hAnsi="Public Sans"/>
          <w:sz w:val="20"/>
          <w:szCs w:val="20"/>
        </w:rPr>
        <w:t>WHS regulator website</w:t>
      </w:r>
      <w:r w:rsidR="00E00AAF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>.</w:t>
      </w:r>
    </w:p>
    <w:p w14:paraId="130BC6E9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8125245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EF044B9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3753733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7D53D74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49D39F3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425D620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08376F3C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5DEB29C1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E2268B6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3198B7A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CF18614" w14:textId="77777777" w:rsidR="007E68BC" w:rsidRDefault="007E68BC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342CE4B" w14:textId="5608715B" w:rsidR="00C57920" w:rsidRPr="005822B1" w:rsidRDefault="00C57920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Induction and WHS training</w:t>
      </w:r>
    </w:p>
    <w:p w14:paraId="5DFB638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2503DFE" w14:textId="70C0FA76" w:rsidR="00F46A5A" w:rsidRDefault="0071599F" w:rsidP="00D6629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requirement for i</w:t>
      </w:r>
      <w:r w:rsidR="00D66292">
        <w:rPr>
          <w:rFonts w:ascii="Public Sans" w:hAnsi="Public Sans"/>
          <w:sz w:val="20"/>
          <w:szCs w:val="20"/>
        </w:rPr>
        <w:t xml:space="preserve">nduction and </w:t>
      </w:r>
      <w:r w:rsidR="00750EDD">
        <w:rPr>
          <w:rFonts w:ascii="Public Sans" w:hAnsi="Public Sans"/>
          <w:sz w:val="20"/>
          <w:szCs w:val="20"/>
        </w:rPr>
        <w:t xml:space="preserve">WHS </w:t>
      </w:r>
      <w:r w:rsidR="00D66292">
        <w:rPr>
          <w:rFonts w:ascii="Public Sans" w:hAnsi="Public Sans"/>
          <w:sz w:val="20"/>
          <w:szCs w:val="20"/>
        </w:rPr>
        <w:t>training e</w:t>
      </w:r>
      <w:r w:rsidR="00D66292" w:rsidRPr="00A75FE0">
        <w:rPr>
          <w:rFonts w:ascii="Public Sans" w:hAnsi="Public Sans"/>
          <w:sz w:val="20"/>
          <w:szCs w:val="20"/>
        </w:rPr>
        <w:t xml:space="preserve">vidence </w:t>
      </w:r>
      <w:r w:rsidR="00AE1F7F">
        <w:rPr>
          <w:rFonts w:ascii="Public Sans" w:hAnsi="Public Sans"/>
          <w:sz w:val="20"/>
          <w:szCs w:val="20"/>
        </w:rPr>
        <w:t xml:space="preserve">will depend on the type of Work, consider </w:t>
      </w:r>
      <w:r w:rsidR="00A3373D">
        <w:rPr>
          <w:rFonts w:ascii="Public Sans" w:hAnsi="Public Sans"/>
          <w:sz w:val="20"/>
          <w:szCs w:val="20"/>
        </w:rPr>
        <w:t>these examples</w:t>
      </w:r>
      <w:r w:rsidR="00F46A5A">
        <w:rPr>
          <w:rFonts w:ascii="Public Sans" w:hAnsi="Public Sans"/>
          <w:sz w:val="20"/>
          <w:szCs w:val="20"/>
        </w:rPr>
        <w:t>:</w:t>
      </w:r>
    </w:p>
    <w:p w14:paraId="3006962E" w14:textId="3916A28B" w:rsidR="00A3373D" w:rsidRDefault="00AE1F7F" w:rsidP="00B10B24">
      <w:pPr>
        <w:pStyle w:val="ListParagraph"/>
        <w:numPr>
          <w:ilvl w:val="0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Contractor</w:t>
      </w:r>
      <w:r w:rsidR="00645183">
        <w:rPr>
          <w:rFonts w:ascii="Public Sans" w:hAnsi="Public Sans"/>
          <w:sz w:val="20"/>
          <w:szCs w:val="20"/>
        </w:rPr>
        <w:t xml:space="preserve">s (and their workers) </w:t>
      </w:r>
      <w:r w:rsidR="00CE106B">
        <w:rPr>
          <w:rFonts w:ascii="Public Sans" w:hAnsi="Public Sans"/>
          <w:sz w:val="20"/>
          <w:szCs w:val="20"/>
        </w:rPr>
        <w:t xml:space="preserve">who deliver goods/services to a </w:t>
      </w:r>
      <w:r w:rsidR="00CE106B" w:rsidRPr="00774DD8">
        <w:rPr>
          <w:rFonts w:ascii="Public Sans" w:hAnsi="Public Sans"/>
          <w:bCs/>
          <w:sz w:val="20"/>
          <w:szCs w:val="20"/>
        </w:rPr>
        <w:t xml:space="preserve">public or open space, or a </w:t>
      </w:r>
      <w:proofErr w:type="gramStart"/>
      <w:r w:rsidR="00CE106B">
        <w:rPr>
          <w:rFonts w:ascii="Public Sans" w:hAnsi="Public Sans"/>
          <w:bCs/>
          <w:sz w:val="20"/>
          <w:szCs w:val="20"/>
        </w:rPr>
        <w:t>University</w:t>
      </w:r>
      <w:proofErr w:type="gramEnd"/>
      <w:r w:rsidR="00CE106B">
        <w:rPr>
          <w:rFonts w:ascii="Public Sans" w:hAnsi="Public Sans"/>
          <w:bCs/>
          <w:sz w:val="20"/>
          <w:szCs w:val="20"/>
        </w:rPr>
        <w:t xml:space="preserve"> </w:t>
      </w:r>
      <w:r w:rsidR="00CE106B" w:rsidRPr="00774DD8">
        <w:rPr>
          <w:rFonts w:ascii="Public Sans" w:hAnsi="Public Sans"/>
          <w:bCs/>
          <w:sz w:val="20"/>
          <w:szCs w:val="20"/>
        </w:rPr>
        <w:t>shop front</w:t>
      </w:r>
      <w:r w:rsidR="00CE106B">
        <w:rPr>
          <w:rFonts w:ascii="Public Sans" w:hAnsi="Public Sans"/>
          <w:bCs/>
          <w:sz w:val="20"/>
          <w:szCs w:val="20"/>
        </w:rPr>
        <w:t xml:space="preserve"> </w:t>
      </w:r>
      <w:r w:rsidR="00CE106B" w:rsidRPr="00774DD8">
        <w:rPr>
          <w:rFonts w:ascii="Public Sans" w:hAnsi="Public Sans"/>
          <w:bCs/>
          <w:sz w:val="20"/>
          <w:szCs w:val="20"/>
        </w:rPr>
        <w:t>or reception</w:t>
      </w:r>
      <w:r w:rsidR="000E5A54">
        <w:rPr>
          <w:rFonts w:ascii="Public Sans" w:hAnsi="Public Sans"/>
          <w:bCs/>
          <w:sz w:val="20"/>
          <w:szCs w:val="20"/>
        </w:rPr>
        <w:t>,</w:t>
      </w:r>
      <w:r w:rsidR="00CE106B" w:rsidRPr="00F46A5A">
        <w:rPr>
          <w:rFonts w:ascii="Public Sans" w:hAnsi="Public Sans"/>
          <w:sz w:val="20"/>
          <w:szCs w:val="20"/>
        </w:rPr>
        <w:t xml:space="preserve"> </w:t>
      </w:r>
      <w:r w:rsidR="004500E9" w:rsidRPr="00F46A5A">
        <w:rPr>
          <w:rFonts w:ascii="Public Sans" w:hAnsi="Public Sans"/>
          <w:sz w:val="20"/>
          <w:szCs w:val="20"/>
        </w:rPr>
        <w:t xml:space="preserve">an </w:t>
      </w:r>
      <w:r w:rsidR="00D66292" w:rsidRPr="00F46A5A">
        <w:rPr>
          <w:rFonts w:ascii="Public Sans" w:hAnsi="Public Sans"/>
          <w:sz w:val="20"/>
          <w:szCs w:val="20"/>
        </w:rPr>
        <w:t xml:space="preserve">induction </w:t>
      </w:r>
      <w:r w:rsidR="00CE106B">
        <w:rPr>
          <w:rFonts w:ascii="Public Sans" w:hAnsi="Public Sans"/>
          <w:sz w:val="20"/>
          <w:szCs w:val="20"/>
        </w:rPr>
        <w:t>to the workplace is not required</w:t>
      </w:r>
      <w:r w:rsidR="00F36D4C">
        <w:rPr>
          <w:rFonts w:ascii="Public Sans" w:hAnsi="Public Sans"/>
          <w:sz w:val="20"/>
          <w:szCs w:val="20"/>
        </w:rPr>
        <w:t>.</w:t>
      </w:r>
    </w:p>
    <w:p w14:paraId="3F994805" w14:textId="36753292" w:rsidR="000E5A54" w:rsidRDefault="000E5A54" w:rsidP="00B10B24">
      <w:pPr>
        <w:pStyle w:val="ListParagraph"/>
        <w:numPr>
          <w:ilvl w:val="0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Contractors (and their workers) who </w:t>
      </w:r>
      <w:r w:rsidR="00F3478B">
        <w:rPr>
          <w:rFonts w:ascii="Public Sans" w:hAnsi="Public Sans"/>
          <w:sz w:val="20"/>
          <w:szCs w:val="20"/>
        </w:rPr>
        <w:t xml:space="preserve">enter the University workplace to </w:t>
      </w:r>
      <w:r>
        <w:rPr>
          <w:rFonts w:ascii="Public Sans" w:hAnsi="Public Sans"/>
          <w:sz w:val="20"/>
          <w:szCs w:val="20"/>
        </w:rPr>
        <w:t xml:space="preserve">deliver goods/services </w:t>
      </w:r>
      <w:r w:rsidR="00F3478B">
        <w:rPr>
          <w:rFonts w:ascii="Public Sans" w:hAnsi="Public Sans"/>
          <w:sz w:val="20"/>
          <w:szCs w:val="20"/>
        </w:rPr>
        <w:t xml:space="preserve">on a one off or </w:t>
      </w:r>
      <w:proofErr w:type="gramStart"/>
      <w:r w:rsidR="00F3478B">
        <w:rPr>
          <w:rFonts w:ascii="Public Sans" w:hAnsi="Public Sans"/>
          <w:sz w:val="20"/>
          <w:szCs w:val="20"/>
        </w:rPr>
        <w:t>short term</w:t>
      </w:r>
      <w:proofErr w:type="gramEnd"/>
      <w:r w:rsidR="00F3478B">
        <w:rPr>
          <w:rFonts w:ascii="Public Sans" w:hAnsi="Public Sans"/>
          <w:sz w:val="20"/>
          <w:szCs w:val="20"/>
        </w:rPr>
        <w:t xml:space="preserve"> basis and are </w:t>
      </w:r>
      <w:r w:rsidR="002212DF" w:rsidRPr="002212DF">
        <w:rPr>
          <w:rFonts w:ascii="Public Sans" w:hAnsi="Public Sans"/>
          <w:b/>
          <w:bCs/>
          <w:sz w:val="20"/>
          <w:szCs w:val="20"/>
        </w:rPr>
        <w:t>escorted</w:t>
      </w:r>
      <w:r w:rsidR="002212DF">
        <w:rPr>
          <w:rFonts w:ascii="Public Sans" w:hAnsi="Public Sans"/>
          <w:sz w:val="20"/>
          <w:szCs w:val="20"/>
        </w:rPr>
        <w:t xml:space="preserve"> or </w:t>
      </w:r>
      <w:proofErr w:type="gramStart"/>
      <w:r w:rsidR="00F3478B" w:rsidRPr="00A32DDE">
        <w:rPr>
          <w:rFonts w:ascii="Public Sans" w:hAnsi="Public Sans"/>
          <w:b/>
          <w:bCs/>
          <w:sz w:val="20"/>
          <w:szCs w:val="20"/>
        </w:rPr>
        <w:t>supervised</w:t>
      </w:r>
      <w:r w:rsidR="00F3478B">
        <w:rPr>
          <w:rFonts w:ascii="Public Sans" w:hAnsi="Public Sans"/>
          <w:bCs/>
          <w:sz w:val="20"/>
          <w:szCs w:val="20"/>
        </w:rPr>
        <w:t xml:space="preserve"> </w:t>
      </w:r>
      <w:r>
        <w:rPr>
          <w:rFonts w:ascii="Public Sans" w:hAnsi="Public Sans"/>
          <w:bCs/>
          <w:sz w:val="20"/>
          <w:szCs w:val="20"/>
        </w:rPr>
        <w:t>,</w:t>
      </w:r>
      <w:proofErr w:type="gramEnd"/>
      <w:r w:rsidRPr="00F46A5A">
        <w:rPr>
          <w:rFonts w:ascii="Public Sans" w:hAnsi="Public Sans"/>
          <w:sz w:val="20"/>
          <w:szCs w:val="20"/>
        </w:rPr>
        <w:t xml:space="preserve"> a</w:t>
      </w:r>
      <w:r w:rsidR="00F3478B">
        <w:rPr>
          <w:rFonts w:ascii="Public Sans" w:hAnsi="Public Sans"/>
          <w:sz w:val="20"/>
          <w:szCs w:val="20"/>
        </w:rPr>
        <w:t xml:space="preserve"> visitor induction would be sufficient</w:t>
      </w:r>
      <w:r w:rsidR="00F36D4C">
        <w:rPr>
          <w:rFonts w:ascii="Public Sans" w:hAnsi="Public Sans"/>
          <w:sz w:val="20"/>
          <w:szCs w:val="20"/>
        </w:rPr>
        <w:t>.</w:t>
      </w:r>
      <w:r w:rsidR="00F3478B">
        <w:rPr>
          <w:rFonts w:ascii="Public Sans" w:hAnsi="Public Sans"/>
          <w:sz w:val="20"/>
          <w:szCs w:val="20"/>
        </w:rPr>
        <w:t xml:space="preserve"> </w:t>
      </w:r>
    </w:p>
    <w:p w14:paraId="60A3C9FB" w14:textId="714E7356" w:rsidR="00FB60B4" w:rsidRPr="00FB60B4" w:rsidRDefault="007E68BC" w:rsidP="00B10B24">
      <w:pPr>
        <w:pStyle w:val="ListParagraph"/>
        <w:numPr>
          <w:ilvl w:val="0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Contractors (and their workers) who enter the University workplace to deliver goods/services on a</w:t>
      </w:r>
      <w:r w:rsidR="00467D43">
        <w:rPr>
          <w:rFonts w:ascii="Public Sans" w:hAnsi="Public Sans"/>
          <w:sz w:val="20"/>
          <w:szCs w:val="20"/>
        </w:rPr>
        <w:t xml:space="preserve"> </w:t>
      </w:r>
      <w:proofErr w:type="gramStart"/>
      <w:r w:rsidR="00467D43">
        <w:rPr>
          <w:rFonts w:ascii="Public Sans" w:hAnsi="Public Sans"/>
          <w:sz w:val="20"/>
          <w:szCs w:val="20"/>
        </w:rPr>
        <w:t>longer term</w:t>
      </w:r>
      <w:proofErr w:type="gramEnd"/>
      <w:r w:rsidR="00467D43">
        <w:rPr>
          <w:rFonts w:ascii="Public Sans" w:hAnsi="Public Sans"/>
          <w:sz w:val="20"/>
          <w:szCs w:val="20"/>
        </w:rPr>
        <w:t xml:space="preserve"> basis, go beyond </w:t>
      </w:r>
      <w:r w:rsidR="00467D43" w:rsidRPr="00774DD8">
        <w:rPr>
          <w:rFonts w:ascii="Public Sans" w:hAnsi="Public Sans"/>
          <w:bCs/>
          <w:sz w:val="20"/>
          <w:szCs w:val="20"/>
        </w:rPr>
        <w:t xml:space="preserve">a </w:t>
      </w:r>
      <w:proofErr w:type="gramStart"/>
      <w:r w:rsidR="00467D43">
        <w:rPr>
          <w:rFonts w:ascii="Public Sans" w:hAnsi="Public Sans"/>
          <w:bCs/>
          <w:sz w:val="20"/>
          <w:szCs w:val="20"/>
        </w:rPr>
        <w:t>University</w:t>
      </w:r>
      <w:proofErr w:type="gramEnd"/>
      <w:r w:rsidR="00467D43">
        <w:rPr>
          <w:rFonts w:ascii="Public Sans" w:hAnsi="Public Sans"/>
          <w:bCs/>
          <w:sz w:val="20"/>
          <w:szCs w:val="20"/>
        </w:rPr>
        <w:t xml:space="preserve"> </w:t>
      </w:r>
      <w:r w:rsidR="00467D43" w:rsidRPr="00774DD8">
        <w:rPr>
          <w:rFonts w:ascii="Public Sans" w:hAnsi="Public Sans"/>
          <w:bCs/>
          <w:sz w:val="20"/>
          <w:szCs w:val="20"/>
        </w:rPr>
        <w:t>shop front</w:t>
      </w:r>
      <w:r w:rsidR="00467D43">
        <w:rPr>
          <w:rFonts w:ascii="Public Sans" w:hAnsi="Public Sans"/>
          <w:bCs/>
          <w:sz w:val="20"/>
          <w:szCs w:val="20"/>
        </w:rPr>
        <w:t xml:space="preserve"> </w:t>
      </w:r>
      <w:r w:rsidR="00467D43" w:rsidRPr="00774DD8">
        <w:rPr>
          <w:rFonts w:ascii="Public Sans" w:hAnsi="Public Sans"/>
          <w:bCs/>
          <w:sz w:val="20"/>
          <w:szCs w:val="20"/>
        </w:rPr>
        <w:t>or reception</w:t>
      </w:r>
      <w:r w:rsidR="00467D43">
        <w:rPr>
          <w:rFonts w:ascii="Public Sans" w:hAnsi="Public Sans"/>
          <w:bCs/>
          <w:sz w:val="20"/>
          <w:szCs w:val="20"/>
        </w:rPr>
        <w:t xml:space="preserve"> and are </w:t>
      </w:r>
      <w:r w:rsidR="00467D43" w:rsidRPr="00FB60B4">
        <w:rPr>
          <w:rFonts w:ascii="Public Sans" w:hAnsi="Public Sans"/>
          <w:b/>
          <w:sz w:val="20"/>
          <w:szCs w:val="20"/>
        </w:rPr>
        <w:t>unescorted</w:t>
      </w:r>
      <w:r w:rsidR="00467D43">
        <w:rPr>
          <w:rFonts w:ascii="Public Sans" w:hAnsi="Public Sans"/>
          <w:bCs/>
          <w:sz w:val="20"/>
          <w:szCs w:val="20"/>
        </w:rPr>
        <w:t xml:space="preserve"> or </w:t>
      </w:r>
      <w:r w:rsidR="00467D43" w:rsidRPr="00FB60B4">
        <w:rPr>
          <w:rFonts w:ascii="Public Sans" w:hAnsi="Public Sans"/>
          <w:b/>
          <w:sz w:val="20"/>
          <w:szCs w:val="20"/>
        </w:rPr>
        <w:t>unsupervised</w:t>
      </w:r>
      <w:r w:rsidR="00FB60B4">
        <w:rPr>
          <w:rFonts w:ascii="Public Sans" w:hAnsi="Public Sans"/>
          <w:bCs/>
          <w:sz w:val="20"/>
          <w:szCs w:val="20"/>
        </w:rPr>
        <w:t>, these persons must complete the University’s:</w:t>
      </w:r>
    </w:p>
    <w:p w14:paraId="62F7778C" w14:textId="14AFB654" w:rsidR="007E68BC" w:rsidRPr="005B6CC5" w:rsidRDefault="00FB60B4" w:rsidP="00B10B24">
      <w:pPr>
        <w:pStyle w:val="ListParagraph"/>
        <w:numPr>
          <w:ilvl w:val="1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Contractor induction</w:t>
      </w:r>
      <w:r w:rsidR="005B6CC5">
        <w:rPr>
          <w:rFonts w:ascii="Public Sans" w:hAnsi="Public Sans"/>
          <w:bCs/>
          <w:sz w:val="20"/>
          <w:szCs w:val="20"/>
        </w:rPr>
        <w:t xml:space="preserve"> program</w:t>
      </w:r>
    </w:p>
    <w:p w14:paraId="53CA5871" w14:textId="3B6BFEB1" w:rsidR="005B6CC5" w:rsidRDefault="005B6CC5" w:rsidP="00B10B24">
      <w:pPr>
        <w:pStyle w:val="ListParagraph"/>
        <w:numPr>
          <w:ilvl w:val="1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Tier 2 and Tier 3 (if appliable) local inductions</w:t>
      </w:r>
      <w:r w:rsidR="00F36D4C">
        <w:rPr>
          <w:rFonts w:ascii="Public Sans" w:hAnsi="Public Sans"/>
          <w:sz w:val="20"/>
          <w:szCs w:val="20"/>
        </w:rPr>
        <w:t>.</w:t>
      </w:r>
    </w:p>
    <w:p w14:paraId="584ED2BD" w14:textId="4F8B5AF5" w:rsidR="007E68BC" w:rsidRDefault="00BF398D" w:rsidP="00B10B24">
      <w:pPr>
        <w:pStyle w:val="ListParagraph"/>
        <w:numPr>
          <w:ilvl w:val="0"/>
          <w:numId w:val="1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Contractor workers </w:t>
      </w:r>
      <w:r w:rsidR="00E81B60">
        <w:rPr>
          <w:rFonts w:ascii="Public Sans" w:hAnsi="Public Sans"/>
          <w:sz w:val="20"/>
          <w:szCs w:val="20"/>
        </w:rPr>
        <w:t xml:space="preserve">(employment agency workers) </w:t>
      </w:r>
      <w:r>
        <w:rPr>
          <w:rFonts w:ascii="Public Sans" w:hAnsi="Public Sans"/>
          <w:sz w:val="20"/>
          <w:szCs w:val="20"/>
        </w:rPr>
        <w:t xml:space="preserve">who are embedded in </w:t>
      </w:r>
      <w:r w:rsidR="00BD5261">
        <w:rPr>
          <w:rFonts w:ascii="Public Sans" w:hAnsi="Public Sans"/>
          <w:sz w:val="20"/>
          <w:szCs w:val="20"/>
        </w:rPr>
        <w:t>a</w:t>
      </w:r>
      <w:r>
        <w:rPr>
          <w:rFonts w:ascii="Public Sans" w:hAnsi="Public Sans"/>
          <w:sz w:val="20"/>
          <w:szCs w:val="20"/>
        </w:rPr>
        <w:t xml:space="preserve"> </w:t>
      </w:r>
      <w:proofErr w:type="gramStart"/>
      <w:r>
        <w:rPr>
          <w:rFonts w:ascii="Public Sans" w:hAnsi="Public Sans"/>
          <w:sz w:val="20"/>
          <w:szCs w:val="20"/>
        </w:rPr>
        <w:t>University</w:t>
      </w:r>
      <w:proofErr w:type="gramEnd"/>
      <w:r>
        <w:rPr>
          <w:rFonts w:ascii="Public Sans" w:hAnsi="Public Sans"/>
          <w:sz w:val="20"/>
          <w:szCs w:val="20"/>
        </w:rPr>
        <w:t xml:space="preserve"> </w:t>
      </w:r>
      <w:r w:rsidR="00BD5261">
        <w:rPr>
          <w:rFonts w:ascii="Public Sans" w:hAnsi="Public Sans"/>
          <w:sz w:val="20"/>
          <w:szCs w:val="20"/>
        </w:rPr>
        <w:t>work group, similar to an employee, must complete all WHS inductions relevant to an employee of the University</w:t>
      </w:r>
      <w:r w:rsidR="008C71E5">
        <w:rPr>
          <w:rFonts w:ascii="Public Sans" w:hAnsi="Public Sans"/>
          <w:sz w:val="20"/>
          <w:szCs w:val="20"/>
        </w:rPr>
        <w:t xml:space="preserve">. </w:t>
      </w:r>
      <w:r w:rsidR="00E81B60">
        <w:rPr>
          <w:rFonts w:ascii="Public Sans" w:hAnsi="Public Sans"/>
          <w:sz w:val="20"/>
          <w:szCs w:val="20"/>
        </w:rPr>
        <w:t xml:space="preserve">A </w:t>
      </w:r>
      <w:r w:rsidR="00CB4E29">
        <w:rPr>
          <w:rFonts w:ascii="Public Sans" w:hAnsi="Public Sans"/>
          <w:sz w:val="20"/>
          <w:szCs w:val="20"/>
        </w:rPr>
        <w:t>representative</w:t>
      </w:r>
      <w:r w:rsidR="00E81B60">
        <w:rPr>
          <w:rFonts w:ascii="Public Sans" w:hAnsi="Public Sans"/>
          <w:sz w:val="20"/>
          <w:szCs w:val="20"/>
        </w:rPr>
        <w:t xml:space="preserve"> from the contracting </w:t>
      </w:r>
      <w:r w:rsidR="0068154D">
        <w:rPr>
          <w:rFonts w:ascii="Public Sans" w:hAnsi="Public Sans"/>
          <w:sz w:val="20"/>
          <w:szCs w:val="20"/>
        </w:rPr>
        <w:t xml:space="preserve">agency who visits the </w:t>
      </w:r>
      <w:r w:rsidR="0039714E">
        <w:rPr>
          <w:rFonts w:ascii="Public Sans" w:hAnsi="Public Sans"/>
          <w:sz w:val="20"/>
          <w:szCs w:val="20"/>
        </w:rPr>
        <w:t xml:space="preserve">University </w:t>
      </w:r>
      <w:r w:rsidR="0068154D">
        <w:rPr>
          <w:rFonts w:ascii="Public Sans" w:hAnsi="Public Sans"/>
          <w:sz w:val="20"/>
          <w:szCs w:val="20"/>
        </w:rPr>
        <w:t xml:space="preserve">workplace </w:t>
      </w:r>
      <w:r w:rsidR="0039714E">
        <w:rPr>
          <w:rFonts w:ascii="Public Sans" w:hAnsi="Public Sans"/>
          <w:sz w:val="20"/>
          <w:szCs w:val="20"/>
        </w:rPr>
        <w:t>would be inducted as a visitor to the workplace.</w:t>
      </w:r>
    </w:p>
    <w:p w14:paraId="3FA227DF" w14:textId="27995195" w:rsidR="008F6889" w:rsidRPr="00A75FE0" w:rsidRDefault="00225391" w:rsidP="008F688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 </w:t>
      </w:r>
      <w:r w:rsidR="00EE57E3" w:rsidRPr="00A3373D">
        <w:rPr>
          <w:rFonts w:ascii="Public Sans" w:hAnsi="Public Sans"/>
          <w:sz w:val="20"/>
          <w:szCs w:val="20"/>
        </w:rPr>
        <w:t>C</w:t>
      </w:r>
      <w:r w:rsidR="00D66292" w:rsidRPr="00A3373D">
        <w:rPr>
          <w:rFonts w:ascii="Public Sans" w:hAnsi="Public Sans"/>
          <w:sz w:val="20"/>
          <w:szCs w:val="20"/>
        </w:rPr>
        <w:t xml:space="preserve">ontractor (as a PCBU) </w:t>
      </w:r>
      <w:r>
        <w:rPr>
          <w:rFonts w:ascii="Public Sans" w:hAnsi="Public Sans"/>
          <w:sz w:val="20"/>
          <w:szCs w:val="20"/>
        </w:rPr>
        <w:t>has a duty to</w:t>
      </w:r>
      <w:r w:rsidR="00D66292" w:rsidRPr="00A3373D">
        <w:rPr>
          <w:rFonts w:ascii="Public Sans" w:hAnsi="Public Sans"/>
          <w:sz w:val="20"/>
          <w:szCs w:val="20"/>
        </w:rPr>
        <w:t xml:space="preserve"> ensure their workers are appropriately </w:t>
      </w:r>
      <w:r w:rsidR="00882F07">
        <w:rPr>
          <w:rFonts w:ascii="Public Sans" w:hAnsi="Public Sans"/>
          <w:sz w:val="20"/>
          <w:szCs w:val="20"/>
        </w:rPr>
        <w:t xml:space="preserve">inducted </w:t>
      </w:r>
      <w:r w:rsidR="00F36D4C">
        <w:rPr>
          <w:rFonts w:ascii="Public Sans" w:hAnsi="Public Sans"/>
          <w:sz w:val="20"/>
          <w:szCs w:val="20"/>
        </w:rPr>
        <w:t xml:space="preserve">to the University workplace </w:t>
      </w:r>
      <w:r w:rsidR="00882F07">
        <w:rPr>
          <w:rFonts w:ascii="Public Sans" w:hAnsi="Public Sans"/>
          <w:sz w:val="20"/>
          <w:szCs w:val="20"/>
        </w:rPr>
        <w:t xml:space="preserve">and </w:t>
      </w:r>
      <w:r w:rsidR="00D66292" w:rsidRPr="00A3373D">
        <w:rPr>
          <w:rFonts w:ascii="Public Sans" w:hAnsi="Public Sans"/>
          <w:sz w:val="20"/>
          <w:szCs w:val="20"/>
        </w:rPr>
        <w:t>trained in accordance with State/Territory WHS legislation and/or code(s) of practice</w:t>
      </w:r>
      <w:r w:rsidR="004E6B1F">
        <w:rPr>
          <w:rFonts w:ascii="Public Sans" w:hAnsi="Public Sans"/>
          <w:sz w:val="20"/>
          <w:szCs w:val="20"/>
        </w:rPr>
        <w:t xml:space="preserve"> in relation to the Work</w:t>
      </w:r>
      <w:r w:rsidR="00D66292" w:rsidRPr="00A3373D">
        <w:rPr>
          <w:rFonts w:ascii="Public Sans" w:hAnsi="Public Sans"/>
          <w:sz w:val="20"/>
          <w:szCs w:val="20"/>
        </w:rPr>
        <w:t>.</w:t>
      </w:r>
      <w:r w:rsidR="00C0189D">
        <w:rPr>
          <w:rFonts w:ascii="Public Sans" w:hAnsi="Public Sans"/>
          <w:sz w:val="20"/>
          <w:szCs w:val="20"/>
        </w:rPr>
        <w:t xml:space="preserve"> </w:t>
      </w:r>
      <w:r w:rsidR="00622719">
        <w:rPr>
          <w:rFonts w:ascii="Public Sans" w:hAnsi="Public Sans"/>
          <w:sz w:val="20"/>
          <w:szCs w:val="20"/>
        </w:rPr>
        <w:t>To verify</w:t>
      </w:r>
      <w:r w:rsidR="00C0189D">
        <w:rPr>
          <w:rFonts w:ascii="Public Sans" w:hAnsi="Public Sans"/>
          <w:sz w:val="20"/>
          <w:szCs w:val="20"/>
        </w:rPr>
        <w:t xml:space="preserve"> </w:t>
      </w:r>
      <w:r w:rsidR="00B10B24">
        <w:rPr>
          <w:rFonts w:ascii="Public Sans" w:hAnsi="Public Sans"/>
          <w:sz w:val="20"/>
          <w:szCs w:val="20"/>
        </w:rPr>
        <w:t>e</w:t>
      </w:r>
      <w:r w:rsidR="00C0189D">
        <w:rPr>
          <w:rFonts w:ascii="Public Sans" w:hAnsi="Public Sans"/>
          <w:sz w:val="20"/>
          <w:szCs w:val="20"/>
        </w:rPr>
        <w:t xml:space="preserve">vidence </w:t>
      </w:r>
      <w:r w:rsidR="00B10B24">
        <w:rPr>
          <w:rFonts w:ascii="Public Sans" w:hAnsi="Public Sans"/>
          <w:sz w:val="20"/>
          <w:szCs w:val="20"/>
        </w:rPr>
        <w:t xml:space="preserve">of induction and/or </w:t>
      </w:r>
      <w:r w:rsidR="008A7F14">
        <w:rPr>
          <w:rFonts w:ascii="Public Sans" w:hAnsi="Public Sans"/>
          <w:sz w:val="20"/>
          <w:szCs w:val="20"/>
        </w:rPr>
        <w:t xml:space="preserve">WHS </w:t>
      </w:r>
      <w:r w:rsidR="00B10B24">
        <w:rPr>
          <w:rFonts w:ascii="Public Sans" w:hAnsi="Public Sans"/>
          <w:sz w:val="20"/>
          <w:szCs w:val="20"/>
        </w:rPr>
        <w:t>training</w:t>
      </w:r>
      <w:r w:rsidR="00013528">
        <w:rPr>
          <w:rFonts w:ascii="Public Sans" w:hAnsi="Public Sans"/>
          <w:sz w:val="20"/>
          <w:szCs w:val="20"/>
        </w:rPr>
        <w:t xml:space="preserve">, </w:t>
      </w:r>
      <w:r w:rsidR="00820BC9">
        <w:rPr>
          <w:rFonts w:ascii="Public Sans" w:hAnsi="Public Sans"/>
          <w:sz w:val="20"/>
          <w:szCs w:val="20"/>
        </w:rPr>
        <w:t xml:space="preserve">consider </w:t>
      </w:r>
      <w:r w:rsidR="00622719">
        <w:rPr>
          <w:rFonts w:ascii="Public Sans" w:hAnsi="Public Sans"/>
          <w:sz w:val="20"/>
          <w:szCs w:val="20"/>
        </w:rPr>
        <w:t>the following criteria</w:t>
      </w:r>
      <w:r w:rsidR="00013528">
        <w:rPr>
          <w:rFonts w:ascii="Public Sans" w:hAnsi="Public Sans"/>
          <w:sz w:val="20"/>
          <w:szCs w:val="20"/>
        </w:rPr>
        <w:t>:</w:t>
      </w:r>
    </w:p>
    <w:p w14:paraId="079671FC" w14:textId="10D0551E" w:rsidR="00B10B24" w:rsidRPr="00B10B24" w:rsidRDefault="0017226A" w:rsidP="00B10B24">
      <w:pPr>
        <w:pStyle w:val="ListParagraph"/>
        <w:numPr>
          <w:ilvl w:val="0"/>
          <w:numId w:val="5"/>
        </w:numPr>
        <w:ind w:left="709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</w:t>
      </w:r>
      <w:r w:rsidR="00B10B24" w:rsidRPr="00B10B24">
        <w:rPr>
          <w:rFonts w:ascii="Public Sans" w:hAnsi="Public Sans"/>
          <w:sz w:val="20"/>
          <w:szCs w:val="20"/>
        </w:rPr>
        <w:t>etailed in a safety management plan or procedure</w:t>
      </w:r>
      <w:r>
        <w:rPr>
          <w:rFonts w:ascii="Public Sans" w:hAnsi="Public Sans"/>
          <w:sz w:val="20"/>
          <w:szCs w:val="20"/>
        </w:rPr>
        <w:t>.</w:t>
      </w:r>
    </w:p>
    <w:p w14:paraId="52DC6C37" w14:textId="6C8FCABB" w:rsidR="00B10B24" w:rsidRDefault="0017226A" w:rsidP="00B10B24">
      <w:pPr>
        <w:pStyle w:val="ListParagraph"/>
        <w:numPr>
          <w:ilvl w:val="0"/>
          <w:numId w:val="5"/>
        </w:numPr>
        <w:ind w:left="709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</w:t>
      </w:r>
      <w:r w:rsidR="00B10B24" w:rsidRPr="00B10B24">
        <w:rPr>
          <w:rFonts w:ascii="Public Sans" w:hAnsi="Public Sans"/>
          <w:sz w:val="20"/>
          <w:szCs w:val="20"/>
        </w:rPr>
        <w:t xml:space="preserve">art of a checklist or other form of record that confirms workers are appropriately trained for the tasks being </w:t>
      </w:r>
      <w:proofErr w:type="gramStart"/>
      <w:r w:rsidR="00B10B24" w:rsidRPr="00B10B24">
        <w:rPr>
          <w:rFonts w:ascii="Public Sans" w:hAnsi="Public Sans"/>
          <w:sz w:val="20"/>
          <w:szCs w:val="20"/>
        </w:rPr>
        <w:t>completed, and</w:t>
      </w:r>
      <w:proofErr w:type="gramEnd"/>
      <w:r w:rsidR="00B10B24" w:rsidRPr="00B10B24">
        <w:rPr>
          <w:rFonts w:ascii="Public Sans" w:hAnsi="Public Sans"/>
          <w:sz w:val="20"/>
          <w:szCs w:val="20"/>
        </w:rPr>
        <w:t xml:space="preserve"> are aware of the hazards/risks associated with that work and the control measures that must be implemented to eliminate or minimise the risk of harm.</w:t>
      </w:r>
    </w:p>
    <w:p w14:paraId="16808403" w14:textId="0EBDEBBA" w:rsidR="00B10B24" w:rsidRDefault="008A451D" w:rsidP="00B10B24">
      <w:pPr>
        <w:pStyle w:val="ListParagraph"/>
        <w:numPr>
          <w:ilvl w:val="0"/>
          <w:numId w:val="5"/>
        </w:numPr>
        <w:ind w:left="709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For Contractors (and their </w:t>
      </w:r>
      <w:r w:rsidR="00571941" w:rsidRPr="00B10B24">
        <w:rPr>
          <w:rFonts w:ascii="Public Sans" w:hAnsi="Public Sans"/>
          <w:sz w:val="20"/>
          <w:szCs w:val="20"/>
        </w:rPr>
        <w:t>workers</w:t>
      </w:r>
      <w:r>
        <w:rPr>
          <w:rFonts w:ascii="Public Sans" w:hAnsi="Public Sans"/>
          <w:sz w:val="20"/>
          <w:szCs w:val="20"/>
        </w:rPr>
        <w:t>) who are unescorted or unsupervised in the workplace, they</w:t>
      </w:r>
      <w:r w:rsidR="00571941" w:rsidRPr="00B10B24">
        <w:rPr>
          <w:rFonts w:ascii="Public Sans" w:hAnsi="Public Sans"/>
          <w:sz w:val="20"/>
          <w:szCs w:val="20"/>
        </w:rPr>
        <w:t xml:space="preserve"> </w:t>
      </w:r>
      <w:r w:rsidR="0078604A" w:rsidRPr="00B10B24">
        <w:rPr>
          <w:rFonts w:ascii="Public Sans" w:hAnsi="Public Sans"/>
          <w:sz w:val="20"/>
          <w:szCs w:val="20"/>
        </w:rPr>
        <w:t xml:space="preserve">have or will </w:t>
      </w:r>
      <w:r w:rsidR="00571941" w:rsidRPr="00B10B24">
        <w:rPr>
          <w:rFonts w:ascii="Public Sans" w:hAnsi="Public Sans"/>
          <w:sz w:val="20"/>
          <w:szCs w:val="20"/>
        </w:rPr>
        <w:t>complete the University’s contractor induction program</w:t>
      </w:r>
      <w:r w:rsidR="0017226A">
        <w:rPr>
          <w:rFonts w:ascii="Public Sans" w:hAnsi="Public Sans"/>
          <w:sz w:val="20"/>
          <w:szCs w:val="20"/>
        </w:rPr>
        <w:t>, including Tier 2 and Tier 3 (if appliable) local inductions</w:t>
      </w:r>
      <w:r w:rsidR="00EE57E3" w:rsidRPr="00B10B24">
        <w:rPr>
          <w:rFonts w:ascii="Public Sans" w:hAnsi="Public Sans"/>
          <w:sz w:val="20"/>
          <w:szCs w:val="20"/>
        </w:rPr>
        <w:t>.</w:t>
      </w:r>
    </w:p>
    <w:p w14:paraId="1D244CA6" w14:textId="18E2DED7" w:rsidR="00B10B24" w:rsidRPr="0013661A" w:rsidRDefault="00695F0E" w:rsidP="0013661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Note: </w:t>
      </w:r>
      <w:r w:rsidR="0013661A">
        <w:rPr>
          <w:rFonts w:ascii="Public Sans" w:hAnsi="Public Sans"/>
          <w:sz w:val="20"/>
          <w:szCs w:val="20"/>
        </w:rPr>
        <w:t xml:space="preserve">If the </w:t>
      </w:r>
      <w:r w:rsidR="000464B6">
        <w:rPr>
          <w:rFonts w:ascii="Public Sans" w:hAnsi="Public Sans"/>
          <w:sz w:val="20"/>
          <w:szCs w:val="20"/>
        </w:rPr>
        <w:t xml:space="preserve">evidence of </w:t>
      </w:r>
      <w:r w:rsidR="0013661A">
        <w:rPr>
          <w:rFonts w:ascii="Public Sans" w:hAnsi="Public Sans"/>
          <w:sz w:val="20"/>
          <w:szCs w:val="20"/>
        </w:rPr>
        <w:t>WHS training in</w:t>
      </w:r>
      <w:r w:rsidR="000464B6">
        <w:rPr>
          <w:rFonts w:ascii="Public Sans" w:hAnsi="Public Sans"/>
          <w:sz w:val="20"/>
          <w:szCs w:val="20"/>
        </w:rPr>
        <w:t xml:space="preserve">cludes </w:t>
      </w:r>
      <w:r w:rsidR="008F6889" w:rsidRPr="0013661A">
        <w:rPr>
          <w:rFonts w:ascii="Public Sans" w:hAnsi="Public Sans"/>
          <w:sz w:val="20"/>
          <w:szCs w:val="20"/>
        </w:rPr>
        <w:t>General Construction Induction training, asbestos awareness training and</w:t>
      </w:r>
      <w:r w:rsidR="000464B6">
        <w:rPr>
          <w:rFonts w:ascii="Public Sans" w:hAnsi="Public Sans"/>
          <w:sz w:val="20"/>
          <w:szCs w:val="20"/>
        </w:rPr>
        <w:t>/or</w:t>
      </w:r>
      <w:r w:rsidR="008F6889" w:rsidRPr="0013661A">
        <w:rPr>
          <w:rFonts w:ascii="Public Sans" w:hAnsi="Public Sans"/>
          <w:sz w:val="20"/>
          <w:szCs w:val="20"/>
        </w:rPr>
        <w:t xml:space="preserve"> silica awareness training</w:t>
      </w:r>
      <w:r w:rsidR="000464B6">
        <w:rPr>
          <w:rFonts w:ascii="Public Sans" w:hAnsi="Public Sans"/>
          <w:sz w:val="20"/>
          <w:szCs w:val="20"/>
        </w:rPr>
        <w:t>, the Work may be construction work</w:t>
      </w:r>
      <w:r w:rsidR="005B6F0D">
        <w:rPr>
          <w:rFonts w:ascii="Public Sans" w:hAnsi="Public Sans"/>
          <w:sz w:val="20"/>
          <w:szCs w:val="20"/>
        </w:rPr>
        <w:t>. Therefore</w:t>
      </w:r>
      <w:r w:rsidR="002D4D1A">
        <w:rPr>
          <w:rFonts w:ascii="Public Sans" w:hAnsi="Public Sans"/>
          <w:sz w:val="20"/>
          <w:szCs w:val="20"/>
        </w:rPr>
        <w:t>,</w:t>
      </w:r>
      <w:r w:rsidR="005B6F0D">
        <w:rPr>
          <w:rFonts w:ascii="Public Sans" w:hAnsi="Public Sans"/>
          <w:sz w:val="20"/>
          <w:szCs w:val="20"/>
        </w:rPr>
        <w:t xml:space="preserve"> review Chapter 3.6 – Contractor Safety </w:t>
      </w:r>
      <w:r w:rsidR="00662B30">
        <w:rPr>
          <w:rFonts w:ascii="Public Sans" w:hAnsi="Public Sans"/>
          <w:sz w:val="20"/>
          <w:szCs w:val="20"/>
        </w:rPr>
        <w:t>Engagement</w:t>
      </w:r>
      <w:r w:rsidR="005B6F0D">
        <w:rPr>
          <w:rFonts w:ascii="Public Sans" w:hAnsi="Public Sans"/>
          <w:sz w:val="20"/>
          <w:szCs w:val="20"/>
        </w:rPr>
        <w:t xml:space="preserve"> and Appendix 1 – Managing construction contractors</w:t>
      </w:r>
      <w:r w:rsidR="002D4D1A">
        <w:rPr>
          <w:rFonts w:ascii="Public Sans" w:hAnsi="Public Sans"/>
          <w:sz w:val="20"/>
          <w:szCs w:val="20"/>
        </w:rPr>
        <w:t xml:space="preserve"> to ensure appropriate </w:t>
      </w:r>
      <w:r w:rsidR="00CF1680">
        <w:rPr>
          <w:rFonts w:ascii="Public Sans" w:hAnsi="Public Sans"/>
          <w:sz w:val="20"/>
          <w:szCs w:val="20"/>
        </w:rPr>
        <w:t>verification activities are completed by the University</w:t>
      </w:r>
      <w:r w:rsidR="008F6889" w:rsidRPr="0013661A">
        <w:rPr>
          <w:rFonts w:ascii="Public Sans" w:hAnsi="Public Sans"/>
          <w:sz w:val="20"/>
          <w:szCs w:val="20"/>
        </w:rPr>
        <w:t>.</w:t>
      </w:r>
    </w:p>
    <w:p w14:paraId="26F22B3F" w14:textId="77777777" w:rsidR="00A1748C" w:rsidRDefault="00A1748C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B7490AA" w14:textId="40981F36" w:rsidR="005822B1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Consultation, coordination and cooperation</w:t>
      </w:r>
    </w:p>
    <w:p w14:paraId="670E38E2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F7C7E5D" w14:textId="77777777" w:rsidR="00DF37F9" w:rsidRDefault="00042501" w:rsidP="00EE3EDD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Evidence of the Contractor’s </w:t>
      </w:r>
      <w:r w:rsidR="00672FAD">
        <w:rPr>
          <w:rFonts w:ascii="Public Sans" w:hAnsi="Public Sans"/>
          <w:sz w:val="20"/>
          <w:szCs w:val="20"/>
        </w:rPr>
        <w:t xml:space="preserve">awareness to </w:t>
      </w:r>
      <w:r w:rsidR="00672FAD" w:rsidRPr="00A75FE0">
        <w:rPr>
          <w:rFonts w:ascii="Public Sans" w:hAnsi="Public Sans"/>
          <w:sz w:val="20"/>
          <w:szCs w:val="20"/>
        </w:rPr>
        <w:t>consult, coordinate and cooperate in relation to WHS matters</w:t>
      </w:r>
      <w:r w:rsidR="00672FAD">
        <w:rPr>
          <w:rFonts w:ascii="Public Sans" w:hAnsi="Public Sans"/>
          <w:sz w:val="20"/>
          <w:szCs w:val="20"/>
        </w:rPr>
        <w:t xml:space="preserve"> will depend on the type of Work</w:t>
      </w:r>
      <w:r w:rsidR="00200497">
        <w:rPr>
          <w:rFonts w:ascii="Public Sans" w:hAnsi="Public Sans"/>
          <w:sz w:val="20"/>
          <w:szCs w:val="20"/>
        </w:rPr>
        <w:t xml:space="preserve"> (see </w:t>
      </w:r>
      <w:r w:rsidR="008E6260">
        <w:rPr>
          <w:rFonts w:ascii="Public Sans" w:hAnsi="Public Sans"/>
          <w:sz w:val="20"/>
          <w:szCs w:val="20"/>
        </w:rPr>
        <w:t>Point 1 under Guidance information</w:t>
      </w:r>
      <w:r w:rsidR="00200497">
        <w:rPr>
          <w:rFonts w:ascii="Public Sans" w:hAnsi="Public Sans"/>
          <w:sz w:val="20"/>
          <w:szCs w:val="20"/>
        </w:rPr>
        <w:t>).</w:t>
      </w:r>
      <w:r w:rsidR="00672FAD" w:rsidRPr="00A75FE0">
        <w:rPr>
          <w:rFonts w:ascii="Public Sans" w:hAnsi="Public Sans"/>
          <w:sz w:val="20"/>
          <w:szCs w:val="20"/>
        </w:rPr>
        <w:t xml:space="preserve"> </w:t>
      </w:r>
      <w:r w:rsidR="00B7056A">
        <w:rPr>
          <w:rFonts w:ascii="Public Sans" w:hAnsi="Public Sans"/>
          <w:sz w:val="20"/>
          <w:szCs w:val="20"/>
        </w:rPr>
        <w:t xml:space="preserve">To verify </w:t>
      </w:r>
      <w:r w:rsidR="004C6FF3">
        <w:rPr>
          <w:rFonts w:ascii="Public Sans" w:hAnsi="Public Sans"/>
          <w:sz w:val="20"/>
          <w:szCs w:val="20"/>
        </w:rPr>
        <w:t xml:space="preserve">such </w:t>
      </w:r>
      <w:r w:rsidR="00B7056A">
        <w:rPr>
          <w:rFonts w:ascii="Public Sans" w:hAnsi="Public Sans"/>
          <w:sz w:val="20"/>
          <w:szCs w:val="20"/>
        </w:rPr>
        <w:t>evidence, consider the following criteria:</w:t>
      </w:r>
    </w:p>
    <w:p w14:paraId="18C0F9E7" w14:textId="77777777" w:rsidR="00B527DD" w:rsidRDefault="00EE3EDD" w:rsidP="00B527DD">
      <w:pPr>
        <w:pStyle w:val="ListParagraph"/>
        <w:numPr>
          <w:ilvl w:val="0"/>
          <w:numId w:val="19"/>
        </w:numPr>
        <w:rPr>
          <w:rFonts w:ascii="Public Sans" w:hAnsi="Public Sans"/>
          <w:sz w:val="20"/>
          <w:szCs w:val="20"/>
        </w:rPr>
      </w:pPr>
      <w:r w:rsidRPr="00B527DD">
        <w:rPr>
          <w:rFonts w:ascii="Public Sans" w:hAnsi="Public Sans"/>
          <w:sz w:val="20"/>
          <w:szCs w:val="20"/>
        </w:rPr>
        <w:t>The evidence confirm</w:t>
      </w:r>
      <w:r w:rsidR="00DF37F9" w:rsidRPr="00B527DD">
        <w:rPr>
          <w:rFonts w:ascii="Public Sans" w:hAnsi="Public Sans"/>
          <w:sz w:val="20"/>
          <w:szCs w:val="20"/>
        </w:rPr>
        <w:t>s</w:t>
      </w:r>
      <w:r w:rsidRPr="00B527DD">
        <w:rPr>
          <w:rFonts w:ascii="Public Sans" w:hAnsi="Public Sans"/>
          <w:sz w:val="20"/>
          <w:szCs w:val="20"/>
        </w:rPr>
        <w:t xml:space="preserve"> the </w:t>
      </w:r>
      <w:r w:rsidR="00A1748C" w:rsidRPr="00B527DD">
        <w:rPr>
          <w:rFonts w:ascii="Public Sans" w:hAnsi="Public Sans"/>
          <w:sz w:val="20"/>
          <w:szCs w:val="20"/>
        </w:rPr>
        <w:t>C</w:t>
      </w:r>
      <w:r w:rsidRPr="00B527DD">
        <w:rPr>
          <w:rFonts w:ascii="Public Sans" w:hAnsi="Public Sans"/>
          <w:sz w:val="20"/>
          <w:szCs w:val="20"/>
        </w:rPr>
        <w:t xml:space="preserve">ontractor is aware of their </w:t>
      </w:r>
      <w:r w:rsidR="00E0198E" w:rsidRPr="00B527DD">
        <w:rPr>
          <w:rFonts w:ascii="Public Sans" w:hAnsi="Public Sans"/>
          <w:sz w:val="20"/>
          <w:szCs w:val="20"/>
        </w:rPr>
        <w:t>WHS duty</w:t>
      </w:r>
      <w:r w:rsidRPr="00B527DD">
        <w:rPr>
          <w:rFonts w:ascii="Public Sans" w:hAnsi="Public Sans"/>
          <w:sz w:val="20"/>
          <w:szCs w:val="20"/>
        </w:rPr>
        <w:t xml:space="preserve"> to consult, coordinate and cooperate in relation to WHS matters. </w:t>
      </w:r>
    </w:p>
    <w:p w14:paraId="1A541880" w14:textId="77777777" w:rsidR="00B527DD" w:rsidRDefault="00EE3EDD" w:rsidP="00EE3EDD">
      <w:pPr>
        <w:pStyle w:val="ListParagraph"/>
        <w:numPr>
          <w:ilvl w:val="0"/>
          <w:numId w:val="19"/>
        </w:numPr>
        <w:rPr>
          <w:rFonts w:ascii="Public Sans" w:hAnsi="Public Sans"/>
          <w:sz w:val="20"/>
          <w:szCs w:val="20"/>
        </w:rPr>
      </w:pPr>
      <w:r w:rsidRPr="00B527DD">
        <w:rPr>
          <w:rFonts w:ascii="Public Sans" w:hAnsi="Public Sans"/>
          <w:sz w:val="20"/>
          <w:szCs w:val="20"/>
        </w:rPr>
        <w:t xml:space="preserve">The </w:t>
      </w:r>
      <w:r w:rsidR="00E0198E" w:rsidRPr="00B527DD">
        <w:rPr>
          <w:rFonts w:ascii="Public Sans" w:hAnsi="Public Sans"/>
          <w:sz w:val="20"/>
          <w:szCs w:val="20"/>
        </w:rPr>
        <w:t>duty</w:t>
      </w:r>
      <w:r w:rsidRPr="00B527DD">
        <w:rPr>
          <w:rFonts w:ascii="Public Sans" w:hAnsi="Public Sans"/>
          <w:sz w:val="20"/>
          <w:szCs w:val="20"/>
        </w:rPr>
        <w:t xml:space="preserve"> </w:t>
      </w:r>
      <w:r w:rsidR="00B527DD" w:rsidRPr="00B527DD">
        <w:rPr>
          <w:rFonts w:ascii="Public Sans" w:hAnsi="Public Sans"/>
          <w:sz w:val="20"/>
          <w:szCs w:val="20"/>
        </w:rPr>
        <w:t xml:space="preserve">to </w:t>
      </w:r>
      <w:r w:rsidR="00D774C1" w:rsidRPr="00B527DD">
        <w:rPr>
          <w:rFonts w:ascii="Public Sans" w:hAnsi="Public Sans"/>
          <w:sz w:val="20"/>
          <w:szCs w:val="20"/>
        </w:rPr>
        <w:t xml:space="preserve">consult, coordinate and cooperate </w:t>
      </w:r>
      <w:r w:rsidRPr="00B527DD">
        <w:rPr>
          <w:rFonts w:ascii="Public Sans" w:hAnsi="Public Sans"/>
          <w:sz w:val="20"/>
          <w:szCs w:val="20"/>
        </w:rPr>
        <w:t xml:space="preserve">extends to their workers, other PCBUs and others (visitors and/or students) who may be affected by the </w:t>
      </w:r>
      <w:r w:rsidR="00A91C46" w:rsidRPr="00B527DD">
        <w:rPr>
          <w:rFonts w:ascii="Public Sans" w:hAnsi="Public Sans"/>
          <w:sz w:val="20"/>
          <w:szCs w:val="20"/>
        </w:rPr>
        <w:t>Work</w:t>
      </w:r>
      <w:r w:rsidRPr="00B527DD">
        <w:rPr>
          <w:rFonts w:ascii="Public Sans" w:hAnsi="Public Sans"/>
          <w:sz w:val="20"/>
          <w:szCs w:val="20"/>
        </w:rPr>
        <w:t xml:space="preserve">. This </w:t>
      </w:r>
      <w:r w:rsidR="00E0198E" w:rsidRPr="00B527DD">
        <w:rPr>
          <w:rFonts w:ascii="Public Sans" w:hAnsi="Public Sans"/>
          <w:sz w:val="20"/>
          <w:szCs w:val="20"/>
        </w:rPr>
        <w:t xml:space="preserve">WHS </w:t>
      </w:r>
      <w:r w:rsidR="00D774C1" w:rsidRPr="00B527DD">
        <w:rPr>
          <w:rFonts w:ascii="Public Sans" w:hAnsi="Public Sans"/>
          <w:sz w:val="20"/>
          <w:szCs w:val="20"/>
        </w:rPr>
        <w:t>duty</w:t>
      </w:r>
      <w:r w:rsidRPr="00B527DD">
        <w:rPr>
          <w:rFonts w:ascii="Public Sans" w:hAnsi="Public Sans"/>
          <w:sz w:val="20"/>
          <w:szCs w:val="20"/>
        </w:rPr>
        <w:t xml:space="preserve"> is expressed in varied terms in State/Territory WHS legislation.</w:t>
      </w:r>
    </w:p>
    <w:p w14:paraId="1643F658" w14:textId="77777777" w:rsidR="007D7CA4" w:rsidRDefault="00B527DD" w:rsidP="00EE3EDD">
      <w:pPr>
        <w:pStyle w:val="ListParagraph"/>
        <w:numPr>
          <w:ilvl w:val="0"/>
          <w:numId w:val="19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</w:t>
      </w:r>
      <w:r w:rsidR="00EE3EDD" w:rsidRPr="00B527DD">
        <w:rPr>
          <w:rFonts w:ascii="Public Sans" w:hAnsi="Public Sans"/>
          <w:sz w:val="20"/>
          <w:szCs w:val="20"/>
        </w:rPr>
        <w:t>n addition to procedur</w:t>
      </w:r>
      <w:r w:rsidR="007D7CA4">
        <w:rPr>
          <w:rFonts w:ascii="Public Sans" w:hAnsi="Public Sans"/>
          <w:sz w:val="20"/>
          <w:szCs w:val="20"/>
        </w:rPr>
        <w:t>es</w:t>
      </w:r>
      <w:r w:rsidR="00B95F59" w:rsidRPr="00B527DD">
        <w:rPr>
          <w:rFonts w:ascii="Public Sans" w:hAnsi="Public Sans"/>
          <w:sz w:val="20"/>
          <w:szCs w:val="20"/>
        </w:rPr>
        <w:t>,</w:t>
      </w:r>
      <w:r w:rsidR="00EE3EDD" w:rsidRPr="00B527DD">
        <w:rPr>
          <w:rFonts w:ascii="Public Sans" w:hAnsi="Public Sans"/>
          <w:sz w:val="20"/>
          <w:szCs w:val="20"/>
        </w:rPr>
        <w:t xml:space="preserve"> </w:t>
      </w:r>
      <w:r w:rsidR="007D7CA4">
        <w:rPr>
          <w:rFonts w:ascii="Public Sans" w:hAnsi="Public Sans"/>
          <w:sz w:val="20"/>
          <w:szCs w:val="20"/>
        </w:rPr>
        <w:t xml:space="preserve">the Evidence </w:t>
      </w:r>
      <w:r w:rsidR="00EE3EDD" w:rsidRPr="00B527DD">
        <w:rPr>
          <w:rFonts w:ascii="Public Sans" w:hAnsi="Public Sans"/>
          <w:sz w:val="20"/>
          <w:szCs w:val="20"/>
        </w:rPr>
        <w:t>may include team meetings, site briefings, Take 5 records, toolbox talks, WHS committee minutes, visitor induction(s), client fact sheets or FAQs.</w:t>
      </w:r>
    </w:p>
    <w:p w14:paraId="50ED4AE1" w14:textId="0CEDB4F6" w:rsidR="00EE3EDD" w:rsidRPr="007D7CA4" w:rsidRDefault="00EE3EDD" w:rsidP="00EE3EDD">
      <w:pPr>
        <w:pStyle w:val="ListParagraph"/>
        <w:numPr>
          <w:ilvl w:val="0"/>
          <w:numId w:val="19"/>
        </w:numPr>
        <w:rPr>
          <w:rFonts w:ascii="Public Sans" w:hAnsi="Public Sans"/>
          <w:sz w:val="20"/>
          <w:szCs w:val="20"/>
        </w:rPr>
      </w:pPr>
      <w:r w:rsidRPr="007D7CA4">
        <w:rPr>
          <w:rFonts w:ascii="Public Sans" w:hAnsi="Public Sans"/>
          <w:sz w:val="20"/>
          <w:szCs w:val="20"/>
        </w:rPr>
        <w:t xml:space="preserve">Evidence may include statements related to engagement or communication with </w:t>
      </w:r>
      <w:r w:rsidR="00A91C46" w:rsidRPr="007D7CA4">
        <w:rPr>
          <w:rFonts w:ascii="Public Sans" w:hAnsi="Public Sans"/>
          <w:sz w:val="20"/>
          <w:szCs w:val="20"/>
        </w:rPr>
        <w:t>the University</w:t>
      </w:r>
      <w:r w:rsidRPr="007D7CA4">
        <w:rPr>
          <w:rFonts w:ascii="Public Sans" w:hAnsi="Public Sans"/>
          <w:sz w:val="20"/>
          <w:szCs w:val="20"/>
        </w:rPr>
        <w:t xml:space="preserve"> or clients, </w:t>
      </w:r>
      <w:r w:rsidR="00A91C46" w:rsidRPr="007D7CA4">
        <w:rPr>
          <w:rFonts w:ascii="Public Sans" w:hAnsi="Public Sans"/>
          <w:sz w:val="20"/>
          <w:szCs w:val="20"/>
        </w:rPr>
        <w:t xml:space="preserve">a </w:t>
      </w:r>
      <w:r w:rsidRPr="007D7CA4">
        <w:rPr>
          <w:rFonts w:ascii="Public Sans" w:hAnsi="Public Sans"/>
          <w:sz w:val="20"/>
          <w:szCs w:val="20"/>
        </w:rPr>
        <w:t xml:space="preserve">client relations plan </w:t>
      </w:r>
      <w:r w:rsidR="00B95F59" w:rsidRPr="007D7CA4">
        <w:rPr>
          <w:rFonts w:ascii="Public Sans" w:hAnsi="Public Sans"/>
          <w:sz w:val="20"/>
          <w:szCs w:val="20"/>
        </w:rPr>
        <w:t>and/</w:t>
      </w:r>
      <w:r w:rsidRPr="007D7CA4">
        <w:rPr>
          <w:rFonts w:ascii="Public Sans" w:hAnsi="Public Sans"/>
          <w:sz w:val="20"/>
          <w:szCs w:val="20"/>
        </w:rPr>
        <w:t xml:space="preserve">or </w:t>
      </w:r>
      <w:r w:rsidR="00A91C46" w:rsidRPr="007D7CA4">
        <w:rPr>
          <w:rFonts w:ascii="Public Sans" w:hAnsi="Public Sans"/>
          <w:sz w:val="20"/>
          <w:szCs w:val="20"/>
        </w:rPr>
        <w:t xml:space="preserve">a </w:t>
      </w:r>
      <w:r w:rsidRPr="007D7CA4">
        <w:rPr>
          <w:rFonts w:ascii="Public Sans" w:hAnsi="Public Sans"/>
          <w:sz w:val="20"/>
          <w:szCs w:val="20"/>
        </w:rPr>
        <w:t>communication plan.</w:t>
      </w:r>
    </w:p>
    <w:p w14:paraId="1FBAD55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11280DE" w14:textId="5D978628" w:rsidR="001C1787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lastRenderedPageBreak/>
        <w:t>Declarations related to regulatory non-compliances</w:t>
      </w:r>
    </w:p>
    <w:p w14:paraId="1168367F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EA15B67" w14:textId="2653697F" w:rsidR="00EE3EDD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If a </w:t>
      </w:r>
      <w:r w:rsidR="00752D00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 declares they have been issued with a regulatory notice, direction, prohibition or undertaking and/or Court conviction/judgement in relation to WHS or equivalent, the </w:t>
      </w:r>
      <w:r>
        <w:rPr>
          <w:rFonts w:ascii="Public Sans" w:hAnsi="Public Sans"/>
          <w:sz w:val="20"/>
          <w:szCs w:val="20"/>
        </w:rPr>
        <w:t xml:space="preserve">information provided by the </w:t>
      </w:r>
      <w:r w:rsidR="00752D00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 must be reviewed by </w:t>
      </w:r>
      <w:r w:rsidR="00752D00">
        <w:rPr>
          <w:rFonts w:ascii="Public Sans" w:hAnsi="Public Sans"/>
          <w:sz w:val="20"/>
          <w:szCs w:val="20"/>
        </w:rPr>
        <w:t>the University</w:t>
      </w:r>
      <w:r>
        <w:rPr>
          <w:rFonts w:ascii="Public Sans" w:hAnsi="Public Sans"/>
          <w:sz w:val="20"/>
          <w:szCs w:val="20"/>
        </w:rPr>
        <w:t xml:space="preserve"> in relation to</w:t>
      </w:r>
      <w:r w:rsidR="00F21D22">
        <w:rPr>
          <w:rFonts w:ascii="Public Sans" w:hAnsi="Public Sans"/>
          <w:sz w:val="20"/>
          <w:szCs w:val="20"/>
        </w:rPr>
        <w:t xml:space="preserve"> the</w:t>
      </w:r>
      <w:r>
        <w:rPr>
          <w:rFonts w:ascii="Public Sans" w:hAnsi="Public Sans"/>
          <w:sz w:val="20"/>
          <w:szCs w:val="20"/>
        </w:rPr>
        <w:t>:</w:t>
      </w:r>
    </w:p>
    <w:p w14:paraId="4F3C5569" w14:textId="3848AF3D" w:rsidR="00EE3EDD" w:rsidRDefault="00EE3EDD" w:rsidP="00B10B24">
      <w:pPr>
        <w:pStyle w:val="ListParagraph"/>
        <w:numPr>
          <w:ilvl w:val="0"/>
          <w:numId w:val="6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basis of such enforcement or legal action </w:t>
      </w:r>
    </w:p>
    <w:p w14:paraId="44E5A5F5" w14:textId="24D7016B" w:rsidR="00F21D22" w:rsidRDefault="00EE3EDD" w:rsidP="00B10B24">
      <w:pPr>
        <w:pStyle w:val="ListParagraph"/>
        <w:numPr>
          <w:ilvl w:val="0"/>
          <w:numId w:val="6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work intended to be undertaken by the </w:t>
      </w:r>
      <w:r w:rsidR="00752D00">
        <w:rPr>
          <w:rFonts w:ascii="Public Sans" w:hAnsi="Public Sans"/>
          <w:sz w:val="20"/>
          <w:szCs w:val="20"/>
        </w:rPr>
        <w:t>C</w:t>
      </w:r>
      <w:r w:rsidRPr="00131B5D">
        <w:rPr>
          <w:rFonts w:ascii="Public Sans" w:hAnsi="Public Sans"/>
          <w:sz w:val="20"/>
          <w:szCs w:val="20"/>
        </w:rPr>
        <w:t xml:space="preserve">ontractor for, and on behalf of </w:t>
      </w:r>
      <w:r w:rsidR="00EB687D">
        <w:rPr>
          <w:rFonts w:ascii="Public Sans" w:hAnsi="Public Sans"/>
          <w:sz w:val="20"/>
          <w:szCs w:val="20"/>
        </w:rPr>
        <w:t>the University</w:t>
      </w:r>
      <w:r w:rsidR="00F21D22">
        <w:rPr>
          <w:rFonts w:ascii="Public Sans" w:hAnsi="Public Sans"/>
          <w:sz w:val="20"/>
          <w:szCs w:val="20"/>
        </w:rPr>
        <w:t>, and</w:t>
      </w:r>
    </w:p>
    <w:p w14:paraId="58A57290" w14:textId="2DEE0172" w:rsidR="00EE3EDD" w:rsidRPr="00131B5D" w:rsidRDefault="00F21D22" w:rsidP="00B10B24">
      <w:pPr>
        <w:pStyle w:val="ListParagraph"/>
        <w:numPr>
          <w:ilvl w:val="0"/>
          <w:numId w:val="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corrective actions implemented by the Contractor in response to the </w:t>
      </w:r>
      <w:r w:rsidR="00144F41">
        <w:rPr>
          <w:rFonts w:ascii="Public Sans" w:hAnsi="Public Sans"/>
          <w:sz w:val="20"/>
          <w:szCs w:val="20"/>
        </w:rPr>
        <w:t>enforcement or legal action</w:t>
      </w:r>
      <w:r w:rsidR="00EE3EDD" w:rsidRPr="00131B5D">
        <w:rPr>
          <w:rFonts w:ascii="Public Sans" w:hAnsi="Public Sans"/>
          <w:sz w:val="20"/>
          <w:szCs w:val="20"/>
        </w:rPr>
        <w:t>.</w:t>
      </w:r>
    </w:p>
    <w:p w14:paraId="59784AEF" w14:textId="77777777" w:rsidR="009752E8" w:rsidRDefault="006F533F" w:rsidP="005822B1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of </w:t>
      </w:r>
      <w:r w:rsidR="009752E8">
        <w:rPr>
          <w:rFonts w:ascii="Public Sans" w:hAnsi="Public Sans"/>
          <w:sz w:val="20"/>
          <w:szCs w:val="20"/>
        </w:rPr>
        <w:t>information</w:t>
      </w:r>
      <w:r>
        <w:rPr>
          <w:rFonts w:ascii="Public Sans" w:hAnsi="Public Sans"/>
          <w:sz w:val="20"/>
          <w:szCs w:val="20"/>
        </w:rPr>
        <w:t>,</w:t>
      </w:r>
      <w:r w:rsidR="00CA723C">
        <w:rPr>
          <w:rFonts w:ascii="Public Sans" w:hAnsi="Public Sans"/>
          <w:sz w:val="20"/>
          <w:szCs w:val="20"/>
        </w:rPr>
        <w:t xml:space="preserve"> in consultation with Safety and Wellbeing</w:t>
      </w:r>
      <w:r>
        <w:rPr>
          <w:rFonts w:ascii="Public Sans" w:hAnsi="Public Sans"/>
          <w:sz w:val="20"/>
          <w:szCs w:val="20"/>
        </w:rPr>
        <w:t>, must determine to the satisfaction of the University, the Contractor</w:t>
      </w:r>
      <w:r w:rsidR="009752E8">
        <w:rPr>
          <w:rFonts w:ascii="Public Sans" w:hAnsi="Public Sans"/>
          <w:sz w:val="20"/>
          <w:szCs w:val="20"/>
        </w:rPr>
        <w:t>:</w:t>
      </w:r>
    </w:p>
    <w:p w14:paraId="196986B8" w14:textId="77777777" w:rsidR="00B71C49" w:rsidRDefault="009752E8" w:rsidP="00B10B24">
      <w:pPr>
        <w:pStyle w:val="ListParagraph"/>
        <w:numPr>
          <w:ilvl w:val="0"/>
          <w:numId w:val="1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has taken all reasonably practical steps</w:t>
      </w:r>
      <w:r w:rsidR="003A7E51">
        <w:rPr>
          <w:rFonts w:ascii="Public Sans" w:hAnsi="Public Sans"/>
          <w:sz w:val="20"/>
          <w:szCs w:val="20"/>
        </w:rPr>
        <w:t xml:space="preserve"> to assure the circumstance leading to the enforcement or legal action</w:t>
      </w:r>
      <w:r w:rsidR="00B71C49">
        <w:rPr>
          <w:rFonts w:ascii="Public Sans" w:hAnsi="Public Sans"/>
          <w:sz w:val="20"/>
          <w:szCs w:val="20"/>
        </w:rPr>
        <w:t xml:space="preserve"> does not result in a similar outcome, and</w:t>
      </w:r>
    </w:p>
    <w:p w14:paraId="119EDC61" w14:textId="244DAE08" w:rsidR="005822B1" w:rsidRPr="009752E8" w:rsidRDefault="00B71C49" w:rsidP="00B10B24">
      <w:pPr>
        <w:pStyle w:val="ListParagraph"/>
        <w:numPr>
          <w:ilvl w:val="0"/>
          <w:numId w:val="1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does not pose </w:t>
      </w:r>
      <w:r w:rsidR="008C7392">
        <w:rPr>
          <w:rFonts w:ascii="Public Sans" w:hAnsi="Public Sans"/>
          <w:sz w:val="20"/>
          <w:szCs w:val="20"/>
        </w:rPr>
        <w:t>an unacceptable level of risk to the University in</w:t>
      </w:r>
      <w:r w:rsidR="00365A5F">
        <w:rPr>
          <w:rFonts w:ascii="Public Sans" w:hAnsi="Public Sans"/>
          <w:sz w:val="20"/>
          <w:szCs w:val="20"/>
        </w:rPr>
        <w:t xml:space="preserve"> not supporting the University to meet its duties under the Act and Regulations</w:t>
      </w:r>
      <w:r w:rsidR="00CA723C" w:rsidRPr="009752E8">
        <w:rPr>
          <w:rFonts w:ascii="Public Sans" w:hAnsi="Public Sans"/>
          <w:sz w:val="20"/>
          <w:szCs w:val="20"/>
        </w:rPr>
        <w:t>.</w:t>
      </w:r>
    </w:p>
    <w:p w14:paraId="44859ED6" w14:textId="77777777" w:rsidR="005822B1" w:rsidRPr="00A75FE0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9DBB50F" w14:textId="5E329DCF" w:rsidR="00366321" w:rsidRPr="00F03127" w:rsidRDefault="00972924" w:rsidP="00F03127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process and evidence </w:t>
      </w:r>
      <w:r w:rsidR="005C789A" w:rsidRPr="00384156">
        <w:rPr>
          <w:rFonts w:ascii="Public Sans" w:hAnsi="Public Sans"/>
          <w:b/>
          <w:bCs/>
          <w:sz w:val="20"/>
          <w:szCs w:val="20"/>
        </w:rPr>
        <w:t>must</w:t>
      </w:r>
      <w:r w:rsidR="005C789A" w:rsidRPr="003C3661">
        <w:rPr>
          <w:rFonts w:ascii="Public Sans" w:hAnsi="Public Sans"/>
          <w:sz w:val="20"/>
          <w:szCs w:val="20"/>
        </w:rPr>
        <w:t xml:space="preserve"> be documented and retained for future reference.</w:t>
      </w:r>
      <w:bookmarkStart w:id="2" w:name="_Managing_a_contractor’s"/>
      <w:bookmarkEnd w:id="2"/>
    </w:p>
    <w:p w14:paraId="1EC2C503" w14:textId="06CA62EB" w:rsidR="00717020" w:rsidRPr="00F03127" w:rsidRDefault="00300E15" w:rsidP="00F03127">
      <w:pPr>
        <w:pStyle w:val="Heading1"/>
        <w:rPr>
          <w:b/>
          <w:bCs/>
          <w:color w:val="BF8F00" w:themeColor="accent4" w:themeShade="BF"/>
        </w:rPr>
      </w:pPr>
      <w:r w:rsidRPr="00717020">
        <w:rPr>
          <w:b/>
          <w:bCs/>
          <w:color w:val="BF8F00" w:themeColor="accent4" w:themeShade="BF"/>
        </w:rPr>
        <w:t>Managing a contractor’s safety perform</w:t>
      </w:r>
      <w:r w:rsidR="00717020" w:rsidRPr="00717020">
        <w:rPr>
          <w:b/>
          <w:bCs/>
          <w:color w:val="BF8F00" w:themeColor="accent4" w:themeShade="BF"/>
        </w:rPr>
        <w:t>ance</w:t>
      </w:r>
    </w:p>
    <w:p w14:paraId="507DEC6A" w14:textId="19694086" w:rsidR="00FE3E79" w:rsidRDefault="00FE3E79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Engaging </w:t>
      </w:r>
      <w:r w:rsidR="0075556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ontractors to do work is not a “set and forget” process. </w:t>
      </w:r>
      <w:r w:rsidR="00E446B3">
        <w:rPr>
          <w:rFonts w:ascii="Public Sans" w:hAnsi="Public Sans"/>
          <w:sz w:val="20"/>
          <w:szCs w:val="20"/>
        </w:rPr>
        <w:t>A</w:t>
      </w:r>
      <w:r w:rsidR="00435F87">
        <w:rPr>
          <w:rFonts w:ascii="Public Sans" w:hAnsi="Public Sans"/>
          <w:sz w:val="20"/>
          <w:szCs w:val="20"/>
        </w:rPr>
        <w:t xml:space="preserve"> </w:t>
      </w:r>
      <w:r w:rsidR="0075556F">
        <w:rPr>
          <w:rFonts w:ascii="Public Sans" w:hAnsi="Public Sans"/>
          <w:sz w:val="20"/>
          <w:szCs w:val="20"/>
        </w:rPr>
        <w:t>C</w:t>
      </w:r>
      <w:r w:rsidR="00435F87">
        <w:rPr>
          <w:rFonts w:ascii="Public Sans" w:hAnsi="Public Sans"/>
          <w:sz w:val="20"/>
          <w:szCs w:val="20"/>
        </w:rPr>
        <w:t>ontractor</w:t>
      </w:r>
      <w:r w:rsidR="00E446B3">
        <w:rPr>
          <w:rFonts w:ascii="Public Sans" w:hAnsi="Public Sans"/>
          <w:sz w:val="20"/>
          <w:szCs w:val="20"/>
        </w:rPr>
        <w:t>’s safety performance</w:t>
      </w:r>
      <w:r w:rsidR="00435F87">
        <w:rPr>
          <w:rFonts w:ascii="Public Sans" w:hAnsi="Public Sans"/>
          <w:sz w:val="20"/>
          <w:szCs w:val="20"/>
        </w:rPr>
        <w:t xml:space="preserve"> must be monitored and/or managed </w:t>
      </w:r>
      <w:r w:rsidR="006A446D">
        <w:rPr>
          <w:rFonts w:ascii="Public Sans" w:hAnsi="Public Sans"/>
          <w:sz w:val="20"/>
          <w:szCs w:val="20"/>
        </w:rPr>
        <w:t xml:space="preserve">through to the end of the Work or contract/agreement. </w:t>
      </w:r>
      <w:r w:rsidR="00EC74E4">
        <w:rPr>
          <w:rFonts w:ascii="Public Sans" w:hAnsi="Public Sans"/>
          <w:sz w:val="20"/>
          <w:szCs w:val="20"/>
        </w:rPr>
        <w:t>The</w:t>
      </w:r>
      <w:r w:rsidR="009757FA">
        <w:rPr>
          <w:rFonts w:ascii="Public Sans" w:hAnsi="Public Sans"/>
          <w:sz w:val="20"/>
          <w:szCs w:val="20"/>
        </w:rPr>
        <w:t xml:space="preserve"> </w:t>
      </w:r>
      <w:r w:rsidR="0075556F">
        <w:rPr>
          <w:rFonts w:ascii="Public Sans" w:hAnsi="Public Sans"/>
          <w:sz w:val="20"/>
          <w:szCs w:val="20"/>
        </w:rPr>
        <w:t>C</w:t>
      </w:r>
      <w:r w:rsidR="009757FA">
        <w:rPr>
          <w:rFonts w:ascii="Public Sans" w:hAnsi="Public Sans"/>
          <w:sz w:val="20"/>
          <w:szCs w:val="20"/>
        </w:rPr>
        <w:t xml:space="preserve">ontractor </w:t>
      </w:r>
      <w:r w:rsidR="00EC74E4">
        <w:rPr>
          <w:rFonts w:ascii="Public Sans" w:hAnsi="Public Sans"/>
          <w:sz w:val="20"/>
          <w:szCs w:val="20"/>
        </w:rPr>
        <w:t>and</w:t>
      </w:r>
      <w:r w:rsidR="00683A89">
        <w:rPr>
          <w:rFonts w:ascii="Public Sans" w:hAnsi="Public Sans"/>
          <w:sz w:val="20"/>
          <w:szCs w:val="20"/>
        </w:rPr>
        <w:t xml:space="preserve"> University retain concurrent WH</w:t>
      </w:r>
      <w:r w:rsidR="00167121">
        <w:rPr>
          <w:rFonts w:ascii="Public Sans" w:hAnsi="Public Sans"/>
          <w:sz w:val="20"/>
          <w:szCs w:val="20"/>
        </w:rPr>
        <w:t>S</w:t>
      </w:r>
      <w:r w:rsidR="00683A89">
        <w:rPr>
          <w:rFonts w:ascii="Public Sans" w:hAnsi="Public Sans"/>
          <w:sz w:val="20"/>
          <w:szCs w:val="20"/>
        </w:rPr>
        <w:t xml:space="preserve"> duties to do what is reasonably practicable to assure the safety of </w:t>
      </w:r>
      <w:r w:rsidR="007116CE">
        <w:rPr>
          <w:rFonts w:ascii="Public Sans" w:hAnsi="Public Sans"/>
          <w:sz w:val="20"/>
          <w:szCs w:val="20"/>
        </w:rPr>
        <w:t xml:space="preserve">Contractor </w:t>
      </w:r>
      <w:r w:rsidR="00683A89">
        <w:rPr>
          <w:rFonts w:ascii="Public Sans" w:hAnsi="Public Sans"/>
          <w:sz w:val="20"/>
          <w:szCs w:val="20"/>
        </w:rPr>
        <w:t>workers and others</w:t>
      </w:r>
      <w:r w:rsidR="007116CE">
        <w:rPr>
          <w:rFonts w:ascii="Public Sans" w:hAnsi="Public Sans"/>
          <w:sz w:val="20"/>
          <w:szCs w:val="20"/>
        </w:rPr>
        <w:t xml:space="preserve"> (in this case includes </w:t>
      </w:r>
      <w:r w:rsidR="00C84595">
        <w:rPr>
          <w:rFonts w:ascii="Public Sans" w:hAnsi="Public Sans"/>
          <w:sz w:val="20"/>
          <w:szCs w:val="20"/>
        </w:rPr>
        <w:t>University employees, students and visitors to the University workplace)</w:t>
      </w:r>
      <w:r w:rsidR="00683A89">
        <w:rPr>
          <w:rFonts w:ascii="Public Sans" w:hAnsi="Public Sans"/>
          <w:sz w:val="20"/>
          <w:szCs w:val="20"/>
        </w:rPr>
        <w:t>.</w:t>
      </w:r>
    </w:p>
    <w:p w14:paraId="02126434" w14:textId="3B785060" w:rsidR="006D552D" w:rsidRDefault="00167121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 general terms, key milestone events which may coincide with </w:t>
      </w:r>
      <w:proofErr w:type="gramStart"/>
      <w:r w:rsidR="0086217E">
        <w:rPr>
          <w:rFonts w:ascii="Public Sans" w:hAnsi="Public Sans"/>
          <w:sz w:val="20"/>
          <w:szCs w:val="20"/>
        </w:rPr>
        <w:t>University</w:t>
      </w:r>
      <w:proofErr w:type="gramEnd"/>
      <w:r w:rsidR="0086217E">
        <w:rPr>
          <w:rFonts w:ascii="Public Sans" w:hAnsi="Public Sans"/>
          <w:sz w:val="20"/>
          <w:szCs w:val="20"/>
        </w:rPr>
        <w:t xml:space="preserve"> </w:t>
      </w:r>
      <w:r w:rsidR="006D640A">
        <w:rPr>
          <w:rFonts w:ascii="Public Sans" w:hAnsi="Public Sans"/>
          <w:sz w:val="20"/>
          <w:szCs w:val="20"/>
        </w:rPr>
        <w:t xml:space="preserve">activities to monitor a </w:t>
      </w:r>
      <w:proofErr w:type="gramStart"/>
      <w:r w:rsidR="0075556F">
        <w:rPr>
          <w:rFonts w:ascii="Public Sans" w:hAnsi="Public Sans"/>
          <w:sz w:val="20"/>
          <w:szCs w:val="20"/>
        </w:rPr>
        <w:t>C</w:t>
      </w:r>
      <w:r w:rsidR="006D640A">
        <w:rPr>
          <w:rFonts w:ascii="Public Sans" w:hAnsi="Public Sans"/>
          <w:sz w:val="20"/>
          <w:szCs w:val="20"/>
        </w:rPr>
        <w:t>ontractor’s</w:t>
      </w:r>
      <w:proofErr w:type="gramEnd"/>
      <w:r w:rsidR="006D640A">
        <w:rPr>
          <w:rFonts w:ascii="Public Sans" w:hAnsi="Public Sans"/>
          <w:sz w:val="20"/>
          <w:szCs w:val="20"/>
        </w:rPr>
        <w:t xml:space="preserve"> safety performance include</w:t>
      </w:r>
      <w:r w:rsidR="00905DF9">
        <w:rPr>
          <w:rFonts w:ascii="Public Sans" w:hAnsi="Public Sans"/>
          <w:sz w:val="20"/>
          <w:szCs w:val="20"/>
        </w:rPr>
        <w:t xml:space="preserve"> the following</w:t>
      </w:r>
      <w:r w:rsidR="00926E82">
        <w:rPr>
          <w:rFonts w:ascii="Public Sans" w:hAnsi="Public Sans"/>
          <w:sz w:val="20"/>
          <w:szCs w:val="20"/>
        </w:rPr>
        <w:t xml:space="preserve">, which may be </w:t>
      </w:r>
      <w:r w:rsidR="00111404">
        <w:rPr>
          <w:rFonts w:ascii="Public Sans" w:hAnsi="Public Sans"/>
          <w:sz w:val="20"/>
          <w:szCs w:val="20"/>
        </w:rPr>
        <w:t xml:space="preserve">adapted to suit the Work situation and </w:t>
      </w:r>
      <w:r w:rsidR="008B0428">
        <w:rPr>
          <w:rFonts w:ascii="Public Sans" w:hAnsi="Public Sans"/>
          <w:sz w:val="20"/>
          <w:szCs w:val="20"/>
        </w:rPr>
        <w:t xml:space="preserve">are </w:t>
      </w:r>
      <w:r w:rsidR="00926E82">
        <w:rPr>
          <w:rFonts w:ascii="Public Sans" w:hAnsi="Public Sans"/>
          <w:sz w:val="20"/>
          <w:szCs w:val="20"/>
        </w:rPr>
        <w:t>preplanned or unannounced:</w:t>
      </w:r>
    </w:p>
    <w:p w14:paraId="0E7C2EBF" w14:textId="05650212" w:rsidR="006D640A" w:rsidRDefault="00A81316" w:rsidP="00B10B24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Pre-</w:t>
      </w:r>
      <w:r w:rsidR="0003457F">
        <w:rPr>
          <w:rFonts w:ascii="Public Sans" w:hAnsi="Public Sans"/>
          <w:sz w:val="20"/>
          <w:szCs w:val="20"/>
        </w:rPr>
        <w:t>start</w:t>
      </w:r>
      <w:r>
        <w:rPr>
          <w:rFonts w:ascii="Public Sans" w:hAnsi="Public Sans"/>
          <w:sz w:val="20"/>
          <w:szCs w:val="20"/>
        </w:rPr>
        <w:t xml:space="preserve"> </w:t>
      </w:r>
      <w:r w:rsidR="00415214">
        <w:rPr>
          <w:rFonts w:ascii="Public Sans" w:hAnsi="Public Sans"/>
          <w:sz w:val="20"/>
          <w:szCs w:val="20"/>
        </w:rPr>
        <w:t xml:space="preserve">meeting and/or </w:t>
      </w:r>
      <w:r>
        <w:rPr>
          <w:rFonts w:ascii="Public Sans" w:hAnsi="Public Sans"/>
          <w:sz w:val="20"/>
          <w:szCs w:val="20"/>
        </w:rPr>
        <w:t>inspection</w:t>
      </w:r>
      <w:r w:rsidR="00111404">
        <w:rPr>
          <w:rFonts w:ascii="Public Sans" w:hAnsi="Public Sans"/>
          <w:sz w:val="20"/>
          <w:szCs w:val="20"/>
        </w:rPr>
        <w:t>.</w:t>
      </w:r>
    </w:p>
    <w:p w14:paraId="61F691DA" w14:textId="4568F588" w:rsidR="0086217E" w:rsidRPr="008B0428" w:rsidRDefault="00B007C2" w:rsidP="008B0428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After the Work commences</w:t>
      </w:r>
      <w:r w:rsidR="009F6FC4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to verify the </w:t>
      </w:r>
      <w:r w:rsidR="00D34EE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WHSMS has been implemented </w:t>
      </w:r>
      <w:r w:rsidR="009F6FC4">
        <w:rPr>
          <w:rFonts w:ascii="Public Sans" w:hAnsi="Public Sans"/>
          <w:sz w:val="20"/>
          <w:szCs w:val="20"/>
        </w:rPr>
        <w:t>as proposed</w:t>
      </w:r>
      <w:r w:rsidR="00DC180A">
        <w:rPr>
          <w:rFonts w:ascii="Public Sans" w:hAnsi="Public Sans"/>
          <w:sz w:val="20"/>
          <w:szCs w:val="20"/>
        </w:rPr>
        <w:t>.</w:t>
      </w:r>
    </w:p>
    <w:p w14:paraId="4449718E" w14:textId="3E9265BC" w:rsidR="00DC180A" w:rsidRDefault="00DC180A" w:rsidP="00B10B24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Mid-way through </w:t>
      </w:r>
      <w:r w:rsidR="0096374C">
        <w:rPr>
          <w:rFonts w:ascii="Public Sans" w:hAnsi="Public Sans"/>
          <w:sz w:val="20"/>
          <w:szCs w:val="20"/>
        </w:rPr>
        <w:t xml:space="preserve">a contractual </w:t>
      </w:r>
      <w:r>
        <w:rPr>
          <w:rFonts w:ascii="Public Sans" w:hAnsi="Public Sans"/>
          <w:sz w:val="20"/>
          <w:szCs w:val="20"/>
        </w:rPr>
        <w:t>time frame if the Work is less than three (3) months in duration.</w:t>
      </w:r>
    </w:p>
    <w:p w14:paraId="607F5C1E" w14:textId="1A81F95E" w:rsidR="00DC180A" w:rsidRDefault="00DC180A" w:rsidP="00B10B24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During final stages of </w:t>
      </w:r>
      <w:r w:rsidR="001A2156">
        <w:rPr>
          <w:rFonts w:ascii="Public Sans" w:hAnsi="Public Sans"/>
          <w:sz w:val="20"/>
          <w:szCs w:val="20"/>
        </w:rPr>
        <w:t xml:space="preserve">the </w:t>
      </w:r>
      <w:r>
        <w:rPr>
          <w:rFonts w:ascii="Public Sans" w:hAnsi="Public Sans"/>
          <w:sz w:val="20"/>
          <w:szCs w:val="20"/>
        </w:rPr>
        <w:t xml:space="preserve">Work which involves </w:t>
      </w:r>
      <w:r w:rsidR="001A2156">
        <w:rPr>
          <w:rFonts w:ascii="Public Sans" w:hAnsi="Public Sans"/>
          <w:sz w:val="20"/>
          <w:szCs w:val="20"/>
        </w:rPr>
        <w:t>work</w:t>
      </w:r>
      <w:r>
        <w:rPr>
          <w:rFonts w:ascii="Public Sans" w:hAnsi="Public Sans"/>
          <w:sz w:val="20"/>
          <w:szCs w:val="20"/>
        </w:rPr>
        <w:t xml:space="preserve"> which tend</w:t>
      </w:r>
      <w:r w:rsidR="001A2156">
        <w:rPr>
          <w:rFonts w:ascii="Public Sans" w:hAnsi="Public Sans"/>
          <w:sz w:val="20"/>
          <w:szCs w:val="20"/>
        </w:rPr>
        <w:t>s</w:t>
      </w:r>
      <w:r>
        <w:rPr>
          <w:rFonts w:ascii="Public Sans" w:hAnsi="Public Sans"/>
          <w:sz w:val="20"/>
          <w:szCs w:val="20"/>
        </w:rPr>
        <w:t xml:space="preserve"> to attract less focus on safe</w:t>
      </w:r>
      <w:r w:rsidR="001A2156">
        <w:rPr>
          <w:rFonts w:ascii="Public Sans" w:hAnsi="Public Sans"/>
          <w:sz w:val="20"/>
          <w:szCs w:val="20"/>
        </w:rPr>
        <w:t>ty</w:t>
      </w:r>
      <w:r>
        <w:rPr>
          <w:rFonts w:ascii="Public Sans" w:hAnsi="Public Sans"/>
          <w:sz w:val="20"/>
          <w:szCs w:val="20"/>
        </w:rPr>
        <w:t xml:space="preserve">, </w:t>
      </w:r>
      <w:r w:rsidR="0096374C">
        <w:rPr>
          <w:rFonts w:ascii="Public Sans" w:hAnsi="Public Sans"/>
          <w:sz w:val="20"/>
          <w:szCs w:val="20"/>
        </w:rPr>
        <w:t>re-deliveries</w:t>
      </w:r>
      <w:r>
        <w:rPr>
          <w:rFonts w:ascii="Public Sans" w:hAnsi="Public Sans"/>
          <w:sz w:val="20"/>
          <w:szCs w:val="20"/>
        </w:rPr>
        <w:t xml:space="preserve"> and/or make good tasks.</w:t>
      </w:r>
    </w:p>
    <w:p w14:paraId="37199E1A" w14:textId="092B5C3D" w:rsidR="00DC180A" w:rsidRDefault="00DC180A" w:rsidP="00B10B24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At least every six (6) to twelve (12) weeks for Work if it continues for more than three (3) months.</w:t>
      </w:r>
    </w:p>
    <w:p w14:paraId="7CBCAE4A" w14:textId="0A877A22" w:rsidR="00926E82" w:rsidRPr="00D02A6C" w:rsidRDefault="00DC180A" w:rsidP="00926E82">
      <w:pPr>
        <w:pStyle w:val="ListParagraph"/>
        <w:numPr>
          <w:ilvl w:val="0"/>
          <w:numId w:val="7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In response to notifiable incidents, incidents involving injury or receipt of complaints from third parties.</w:t>
      </w:r>
    </w:p>
    <w:p w14:paraId="4111BCBF" w14:textId="059B3B41" w:rsidR="00926E82" w:rsidRDefault="00926E82" w:rsidP="00926E8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frequency, scope and outcome of managing a </w:t>
      </w:r>
      <w:proofErr w:type="gramStart"/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ontractor’s</w:t>
      </w:r>
      <w:proofErr w:type="gramEnd"/>
      <w:r>
        <w:rPr>
          <w:rFonts w:ascii="Public Sans" w:hAnsi="Public Sans"/>
          <w:sz w:val="20"/>
          <w:szCs w:val="20"/>
        </w:rPr>
        <w:t xml:space="preserve"> safety performance is suggested to centre </w:t>
      </w:r>
      <w:r w:rsidR="00680080">
        <w:rPr>
          <w:rFonts w:ascii="Public Sans" w:hAnsi="Public Sans"/>
          <w:sz w:val="20"/>
          <w:szCs w:val="20"/>
        </w:rPr>
        <w:t>around</w:t>
      </w:r>
      <w:r>
        <w:rPr>
          <w:rFonts w:ascii="Public Sans" w:hAnsi="Public Sans"/>
          <w:sz w:val="20"/>
          <w:szCs w:val="20"/>
        </w:rPr>
        <w:t xml:space="preserve"> these principles:</w:t>
      </w:r>
    </w:p>
    <w:p w14:paraId="7AE724DC" w14:textId="0BBBA061" w:rsidR="00926E82" w:rsidRDefault="00926E82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level of risk posed by the Work.</w:t>
      </w:r>
    </w:p>
    <w:p w14:paraId="1D53411B" w14:textId="43628E36" w:rsidR="0033685C" w:rsidRDefault="0033685C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extent of the University’s knowledge and expertise of the Work.</w:t>
      </w:r>
    </w:p>
    <w:p w14:paraId="1DAD0464" w14:textId="4ABEA2F0" w:rsidR="00926E82" w:rsidRDefault="00926E82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capacity and capability of the </w:t>
      </w:r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as a PCBU</w:t>
      </w:r>
      <w:r w:rsidR="0033685C">
        <w:rPr>
          <w:rFonts w:ascii="Public Sans" w:hAnsi="Public Sans"/>
          <w:sz w:val="20"/>
          <w:szCs w:val="20"/>
        </w:rPr>
        <w:t xml:space="preserve"> and its WHSMS</w:t>
      </w:r>
      <w:r w:rsidR="00DB6648">
        <w:rPr>
          <w:rFonts w:ascii="Public Sans" w:hAnsi="Public Sans"/>
          <w:sz w:val="20"/>
          <w:szCs w:val="20"/>
        </w:rPr>
        <w:t>.</w:t>
      </w:r>
    </w:p>
    <w:p w14:paraId="11D3D47E" w14:textId="52193697" w:rsidR="00DB6648" w:rsidRDefault="00DB6648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term of </w:t>
      </w:r>
      <w:r w:rsidR="0033685C">
        <w:rPr>
          <w:rFonts w:ascii="Public Sans" w:hAnsi="Public Sans"/>
          <w:sz w:val="20"/>
          <w:szCs w:val="20"/>
        </w:rPr>
        <w:t xml:space="preserve">contractor </w:t>
      </w:r>
      <w:r>
        <w:rPr>
          <w:rFonts w:ascii="Public Sans" w:hAnsi="Public Sans"/>
          <w:sz w:val="20"/>
          <w:szCs w:val="20"/>
        </w:rPr>
        <w:t>engagement, in particular Work which may span key holiday or shut down periods.</w:t>
      </w:r>
    </w:p>
    <w:p w14:paraId="1737ED94" w14:textId="12A532DE" w:rsidR="00DB6648" w:rsidRDefault="00DB6648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 and severity of WHS incidents within the management and control of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ontractor.</w:t>
      </w:r>
    </w:p>
    <w:p w14:paraId="2F054ECC" w14:textId="55DCD8DF" w:rsidR="00DB6648" w:rsidRDefault="00B468D3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 d</w:t>
      </w:r>
      <w:r w:rsidR="00DB6648">
        <w:rPr>
          <w:rFonts w:ascii="Public Sans" w:hAnsi="Public Sans"/>
          <w:sz w:val="20"/>
          <w:szCs w:val="20"/>
        </w:rPr>
        <w:t>uty to co</w:t>
      </w:r>
      <w:r>
        <w:rPr>
          <w:rFonts w:ascii="Public Sans" w:hAnsi="Public Sans"/>
          <w:sz w:val="20"/>
          <w:szCs w:val="20"/>
        </w:rPr>
        <w:t>nsult, cooperate and coordinate with contractors on WHS matters.</w:t>
      </w:r>
    </w:p>
    <w:p w14:paraId="013E123C" w14:textId="37E4D842" w:rsidR="00B468D3" w:rsidRDefault="00AC70E4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extent of control the University has over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Work, </w:t>
      </w:r>
      <w:r w:rsidRPr="00AC70E4">
        <w:rPr>
          <w:rFonts w:ascii="Public Sans" w:hAnsi="Public Sans"/>
          <w:b/>
          <w:bCs/>
          <w:sz w:val="20"/>
          <w:szCs w:val="20"/>
        </w:rPr>
        <w:t>the more control, the more responsibility the University has</w:t>
      </w:r>
      <w:r>
        <w:rPr>
          <w:rFonts w:ascii="Public Sans" w:hAnsi="Public Sans"/>
          <w:sz w:val="20"/>
          <w:szCs w:val="20"/>
        </w:rPr>
        <w:t xml:space="preserve"> to take reasonably practicable steps to ensure the health and safety of workers and others.</w:t>
      </w:r>
      <w:r w:rsidR="00905DF9">
        <w:rPr>
          <w:rFonts w:ascii="Public Sans" w:hAnsi="Public Sans"/>
          <w:sz w:val="20"/>
          <w:szCs w:val="20"/>
        </w:rPr>
        <w:t xml:space="preserve"> This point includes any contractual terms requiring specific management activities by the University.</w:t>
      </w:r>
    </w:p>
    <w:p w14:paraId="350908BD" w14:textId="51D316E3" w:rsidR="006E1EEF" w:rsidRDefault="006E1EEF" w:rsidP="00B10B24">
      <w:pPr>
        <w:pStyle w:val="ListParagraph"/>
        <w:numPr>
          <w:ilvl w:val="0"/>
          <w:numId w:val="8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Contractual clauses </w:t>
      </w:r>
      <w:r w:rsidR="00EA7AD7">
        <w:rPr>
          <w:rFonts w:ascii="Public Sans" w:hAnsi="Public Sans"/>
          <w:sz w:val="20"/>
          <w:szCs w:val="20"/>
        </w:rPr>
        <w:t xml:space="preserve">obligating a </w:t>
      </w:r>
      <w:r w:rsidR="0093278D">
        <w:rPr>
          <w:rFonts w:ascii="Public Sans" w:hAnsi="Public Sans"/>
          <w:sz w:val="20"/>
          <w:szCs w:val="20"/>
        </w:rPr>
        <w:t>C</w:t>
      </w:r>
      <w:r w:rsidR="00EA7AD7">
        <w:rPr>
          <w:rFonts w:ascii="Public Sans" w:hAnsi="Public Sans"/>
          <w:sz w:val="20"/>
          <w:szCs w:val="20"/>
        </w:rPr>
        <w:t>ontractor to comply with WHS law and University directions</w:t>
      </w:r>
      <w:r w:rsidR="00DC3F20">
        <w:rPr>
          <w:rFonts w:ascii="Public Sans" w:hAnsi="Public Sans"/>
          <w:sz w:val="20"/>
          <w:szCs w:val="20"/>
        </w:rPr>
        <w:t xml:space="preserve"> or instructions.</w:t>
      </w:r>
    </w:p>
    <w:p w14:paraId="287E7E48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7BEDC433" w14:textId="0B431B64" w:rsidR="00905DF9" w:rsidRDefault="0077197A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process of a</w:t>
      </w:r>
      <w:r w:rsidR="00905DF9">
        <w:rPr>
          <w:rFonts w:ascii="Public Sans" w:hAnsi="Public Sans"/>
          <w:sz w:val="20"/>
          <w:szCs w:val="20"/>
        </w:rPr>
        <w:t xml:space="preserve">ssessing a </w:t>
      </w:r>
      <w:proofErr w:type="gramStart"/>
      <w:r w:rsidR="00DB7052">
        <w:rPr>
          <w:rFonts w:ascii="Public Sans" w:hAnsi="Public Sans"/>
          <w:sz w:val="20"/>
          <w:szCs w:val="20"/>
        </w:rPr>
        <w:t>C</w:t>
      </w:r>
      <w:r w:rsidR="00905DF9">
        <w:rPr>
          <w:rFonts w:ascii="Public Sans" w:hAnsi="Public Sans"/>
          <w:sz w:val="20"/>
          <w:szCs w:val="20"/>
        </w:rPr>
        <w:t>ontractor’s</w:t>
      </w:r>
      <w:proofErr w:type="gramEnd"/>
      <w:r w:rsidR="00905DF9">
        <w:rPr>
          <w:rFonts w:ascii="Public Sans" w:hAnsi="Public Sans"/>
          <w:sz w:val="20"/>
          <w:szCs w:val="20"/>
        </w:rPr>
        <w:t xml:space="preserve"> safety performance </w:t>
      </w:r>
      <w:r>
        <w:rPr>
          <w:rFonts w:ascii="Public Sans" w:hAnsi="Public Sans"/>
          <w:sz w:val="20"/>
          <w:szCs w:val="20"/>
        </w:rPr>
        <w:t>should</w:t>
      </w:r>
      <w:r w:rsidR="00905DF9">
        <w:rPr>
          <w:rFonts w:ascii="Public Sans" w:hAnsi="Public Sans"/>
          <w:sz w:val="20"/>
          <w:szCs w:val="20"/>
        </w:rPr>
        <w:t xml:space="preserve"> be based </w:t>
      </w:r>
      <w:r>
        <w:rPr>
          <w:rFonts w:ascii="Public Sans" w:hAnsi="Public Sans"/>
          <w:sz w:val="20"/>
          <w:szCs w:val="20"/>
        </w:rPr>
        <w:t>o</w:t>
      </w:r>
      <w:r w:rsidR="00905DF9">
        <w:rPr>
          <w:rFonts w:ascii="Public Sans" w:hAnsi="Public Sans"/>
          <w:sz w:val="20"/>
          <w:szCs w:val="20"/>
        </w:rPr>
        <w:t xml:space="preserve">n </w:t>
      </w:r>
      <w:r w:rsidR="00D31335">
        <w:rPr>
          <w:rFonts w:ascii="Public Sans" w:hAnsi="Public Sans"/>
          <w:sz w:val="20"/>
          <w:szCs w:val="20"/>
        </w:rPr>
        <w:t xml:space="preserve">prescribed </w:t>
      </w:r>
      <w:r w:rsidR="00905DF9">
        <w:rPr>
          <w:rFonts w:ascii="Public Sans" w:hAnsi="Public Sans"/>
          <w:sz w:val="20"/>
          <w:szCs w:val="20"/>
        </w:rPr>
        <w:t>criteria and</w:t>
      </w:r>
      <w:r w:rsidR="00797547">
        <w:rPr>
          <w:rFonts w:ascii="Public Sans" w:hAnsi="Public Sans"/>
          <w:sz w:val="20"/>
          <w:szCs w:val="20"/>
        </w:rPr>
        <w:t xml:space="preserve"> corrective action time frames</w:t>
      </w:r>
      <w:r w:rsidR="00D31335">
        <w:rPr>
          <w:rFonts w:ascii="Public Sans" w:hAnsi="Public Sans"/>
          <w:sz w:val="20"/>
          <w:szCs w:val="20"/>
        </w:rPr>
        <w:t>, such as the examples in the following table</w:t>
      </w:r>
      <w:r w:rsidR="00905DF9">
        <w:rPr>
          <w:rFonts w:ascii="Public Sans" w:hAnsi="Public San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905DF9" w:rsidRPr="00A75FE0" w14:paraId="0074B094" w14:textId="77777777" w:rsidTr="0074246A">
        <w:tc>
          <w:tcPr>
            <w:tcW w:w="1980" w:type="dxa"/>
            <w:shd w:val="clear" w:color="auto" w:fill="000000" w:themeFill="text1"/>
          </w:tcPr>
          <w:p w14:paraId="070E7C83" w14:textId="446B8CD6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7654" w:type="dxa"/>
            <w:shd w:val="clear" w:color="auto" w:fill="000000" w:themeFill="text1"/>
          </w:tcPr>
          <w:p w14:paraId="51CB547A" w14:textId="1FECA304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905DF9" w:rsidRPr="00A75FE0" w14:paraId="3B0106FB" w14:textId="77777777" w:rsidTr="00905DF9">
        <w:tc>
          <w:tcPr>
            <w:tcW w:w="1980" w:type="dxa"/>
            <w:shd w:val="clear" w:color="auto" w:fill="C00000"/>
          </w:tcPr>
          <w:p w14:paraId="17A6D298" w14:textId="29A518A1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Critical non-compliance</w:t>
            </w:r>
          </w:p>
        </w:tc>
        <w:tc>
          <w:tcPr>
            <w:tcW w:w="7654" w:type="dxa"/>
          </w:tcPr>
          <w:p w14:paraId="7FBCE61A" w14:textId="7947363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poses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an immediate risk of harm to a worker or other person.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Note the issue may also be a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Comcare </w:t>
            </w:r>
            <w:r w:rsidRPr="000A5628">
              <w:rPr>
                <w:rFonts w:ascii="Public Sans" w:hAnsi="Public Sans"/>
                <w:sz w:val="20"/>
                <w:szCs w:val="20"/>
              </w:rPr>
              <w:t>notifiable incident.</w:t>
            </w:r>
          </w:p>
          <w:p w14:paraId="0CD47FF0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3B18A1B9" w14:textId="525B9F70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Immediate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and/or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stop work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until </w:t>
            </w:r>
            <w:r>
              <w:rPr>
                <w:rFonts w:ascii="Public Sans" w:hAnsi="Public Sans"/>
                <w:sz w:val="20"/>
                <w:szCs w:val="20"/>
              </w:rPr>
              <w:t xml:space="preserve">corrected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or </w:t>
            </w:r>
            <w:r w:rsidRPr="000A5628">
              <w:rPr>
                <w:rFonts w:ascii="Public Sans" w:hAnsi="Public Sans"/>
                <w:sz w:val="20"/>
                <w:szCs w:val="20"/>
              </w:rPr>
              <w:t>actioned.</w:t>
            </w:r>
          </w:p>
        </w:tc>
      </w:tr>
      <w:tr w:rsidR="00905DF9" w:rsidRPr="00A75FE0" w14:paraId="056486BB" w14:textId="77777777" w:rsidTr="00905DF9">
        <w:tc>
          <w:tcPr>
            <w:tcW w:w="1980" w:type="dxa"/>
            <w:shd w:val="clear" w:color="auto" w:fill="C45911" w:themeFill="accent2" w:themeFillShade="BF"/>
          </w:tcPr>
          <w:p w14:paraId="31759DAE" w14:textId="36D8EBBF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color w:val="FFFFFF" w:themeColor="background1"/>
                <w:sz w:val="20"/>
                <w:szCs w:val="20"/>
              </w:rPr>
              <w:t>Non-compliance</w:t>
            </w:r>
          </w:p>
        </w:tc>
        <w:tc>
          <w:tcPr>
            <w:tcW w:w="7654" w:type="dxa"/>
          </w:tcPr>
          <w:p w14:paraId="6B94EC54" w14:textId="16B56B1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does not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pose an immediate risk of harm to a worker or other person.</w:t>
            </w:r>
          </w:p>
          <w:p w14:paraId="4B3B3EC9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00F30070" w14:textId="5190F944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expects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A5628">
              <w:rPr>
                <w:rFonts w:ascii="Public Sans" w:hAnsi="Public Sans"/>
                <w:sz w:val="20"/>
                <w:szCs w:val="20"/>
              </w:rPr>
              <w:t>ontractor to correct the non-compliance within five (5) business days.</w:t>
            </w:r>
          </w:p>
        </w:tc>
      </w:tr>
      <w:tr w:rsidR="00905DF9" w:rsidRPr="00A75FE0" w14:paraId="2FCFB568" w14:textId="77777777" w:rsidTr="00905DF9">
        <w:tc>
          <w:tcPr>
            <w:tcW w:w="1980" w:type="dxa"/>
            <w:shd w:val="clear" w:color="auto" w:fill="FFC000"/>
          </w:tcPr>
          <w:p w14:paraId="489C58D4" w14:textId="28157D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Non-conformance</w:t>
            </w:r>
          </w:p>
        </w:tc>
        <w:tc>
          <w:tcPr>
            <w:tcW w:w="7654" w:type="dxa"/>
          </w:tcPr>
          <w:p w14:paraId="51DFFC50" w14:textId="52567F4A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T</w:t>
            </w:r>
            <w:r w:rsidRPr="009C07D8">
              <w:rPr>
                <w:rFonts w:ascii="Public Sans" w:hAnsi="Public Sans"/>
                <w:sz w:val="20"/>
                <w:szCs w:val="20"/>
              </w:rPr>
              <w:t xml:space="preserve">he system / process / procedure / element is not fully implemented or partially conforms with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9C07D8">
              <w:rPr>
                <w:rFonts w:ascii="Public Sans" w:hAnsi="Public Sans"/>
                <w:sz w:val="20"/>
                <w:szCs w:val="20"/>
              </w:rPr>
              <w:t>MS.</w:t>
            </w:r>
          </w:p>
          <w:p w14:paraId="18DF6C45" w14:textId="77777777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</w:p>
          <w:p w14:paraId="31088B2B" w14:textId="5E5A4E34" w:rsidR="00905DF9" w:rsidRPr="000A562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 w:rsidRPr="009C07D8">
              <w:rPr>
                <w:rFonts w:ascii="Public Sans" w:hAnsi="Public Sans"/>
                <w:sz w:val="20"/>
                <w:szCs w:val="20"/>
              </w:rPr>
              <w:t xml:space="preserve">Corrective action time frame: Corrected as per the requirements of the contract or agreement with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9C07D8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15DECDA7" w14:textId="77777777" w:rsidTr="00905DF9">
        <w:tc>
          <w:tcPr>
            <w:tcW w:w="1980" w:type="dxa"/>
            <w:shd w:val="clear" w:color="auto" w:fill="FFFF00"/>
          </w:tcPr>
          <w:p w14:paraId="3E636D44" w14:textId="42B416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7654" w:type="dxa"/>
          </w:tcPr>
          <w:p w14:paraId="2BD829E2" w14:textId="2E7F3377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n opportunity to improve safe work processes and/or components of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0239EA">
              <w:rPr>
                <w:rFonts w:ascii="Public Sans" w:hAnsi="Public Sans"/>
                <w:sz w:val="20"/>
                <w:szCs w:val="20"/>
              </w:rPr>
              <w:t>MS. Observations also indicate trends that may result in a future non-compliance and/or non-conformance.</w:t>
            </w:r>
          </w:p>
          <w:p w14:paraId="1ECB94ED" w14:textId="77777777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</w:p>
          <w:p w14:paraId="0763AC8A" w14:textId="37B32886" w:rsidR="00905DF9" w:rsidRPr="000A5628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 w:rsidRPr="000239EA">
              <w:rPr>
                <w:rFonts w:ascii="Public Sans" w:hAnsi="Public Sans"/>
                <w:sz w:val="20"/>
                <w:szCs w:val="20"/>
              </w:rPr>
              <w:t xml:space="preserve">Corrective action is a decision by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</w:t>
            </w:r>
            <w:r>
              <w:rPr>
                <w:rFonts w:ascii="Public Sans" w:hAnsi="Public Sans"/>
                <w:sz w:val="20"/>
                <w:szCs w:val="20"/>
              </w:rPr>
              <w:t>or</w:t>
            </w:r>
            <w:r w:rsidRPr="000239EA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2CA1944A" w14:textId="77777777" w:rsidTr="00905DF9">
        <w:tc>
          <w:tcPr>
            <w:tcW w:w="1980" w:type="dxa"/>
            <w:shd w:val="clear" w:color="auto" w:fill="92D050"/>
          </w:tcPr>
          <w:p w14:paraId="4381F4AB" w14:textId="14DEE47D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Compliance or conformance</w:t>
            </w:r>
          </w:p>
        </w:tc>
        <w:tc>
          <w:tcPr>
            <w:tcW w:w="7654" w:type="dxa"/>
          </w:tcPr>
          <w:p w14:paraId="6B942021" w14:textId="7D06AD46" w:rsidR="00905DF9" w:rsidRPr="000A5628" w:rsidRDefault="000239EA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ompli</w:t>
            </w:r>
            <w:r w:rsidR="00756AC7">
              <w:rPr>
                <w:rFonts w:ascii="Public Sans" w:hAnsi="Public Sans"/>
                <w:sz w:val="20"/>
                <w:szCs w:val="20"/>
              </w:rPr>
              <w:t>ant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 with relevant State/Territory or Commonwealth regulatory obligations/requirement(s)</w:t>
            </w:r>
            <w:r>
              <w:rPr>
                <w:rFonts w:ascii="Public Sans" w:hAnsi="Public Sans"/>
                <w:sz w:val="20"/>
                <w:szCs w:val="20"/>
              </w:rPr>
              <w:t xml:space="preserve"> or conformance with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ontractor’s WHSMS.</w:t>
            </w:r>
          </w:p>
        </w:tc>
      </w:tr>
    </w:tbl>
    <w:p w14:paraId="6D403243" w14:textId="77777777" w:rsidR="00905DF9" w:rsidRDefault="00905DF9" w:rsidP="00905DF9">
      <w:pPr>
        <w:rPr>
          <w:rFonts w:ascii="Public Sans" w:hAnsi="Public Sans"/>
          <w:sz w:val="20"/>
          <w:szCs w:val="20"/>
        </w:rPr>
      </w:pPr>
    </w:p>
    <w:p w14:paraId="0005111C" w14:textId="7A83B23C" w:rsidR="00E52ED1" w:rsidRDefault="00E52ED1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All University activities involving </w:t>
      </w:r>
      <w:r w:rsidR="00FF161E" w:rsidRPr="00FF161E">
        <w:rPr>
          <w:rFonts w:ascii="Public Sans" w:hAnsi="Public Sans"/>
          <w:sz w:val="20"/>
          <w:szCs w:val="20"/>
        </w:rPr>
        <w:t>consult</w:t>
      </w:r>
      <w:r w:rsidR="00FF161E">
        <w:rPr>
          <w:rFonts w:ascii="Public Sans" w:hAnsi="Public Sans"/>
          <w:sz w:val="20"/>
          <w:szCs w:val="20"/>
        </w:rPr>
        <w:t>ation</w:t>
      </w:r>
      <w:r w:rsidR="00FF161E" w:rsidRPr="00FF161E">
        <w:rPr>
          <w:rFonts w:ascii="Public Sans" w:hAnsi="Public Sans"/>
          <w:sz w:val="20"/>
          <w:szCs w:val="20"/>
        </w:rPr>
        <w:t>, cooperat</w:t>
      </w:r>
      <w:r w:rsidR="00FF161E">
        <w:rPr>
          <w:rFonts w:ascii="Public Sans" w:hAnsi="Public Sans"/>
          <w:sz w:val="20"/>
          <w:szCs w:val="20"/>
        </w:rPr>
        <w:t>ion</w:t>
      </w:r>
      <w:r w:rsidR="00FF161E" w:rsidRPr="00FF161E">
        <w:rPr>
          <w:rFonts w:ascii="Public Sans" w:hAnsi="Public Sans"/>
          <w:sz w:val="20"/>
          <w:szCs w:val="20"/>
        </w:rPr>
        <w:t xml:space="preserve"> and coordina</w:t>
      </w:r>
      <w:r w:rsidR="00FF161E">
        <w:rPr>
          <w:rFonts w:ascii="Public Sans" w:hAnsi="Public Sans"/>
          <w:sz w:val="20"/>
          <w:szCs w:val="20"/>
        </w:rPr>
        <w:t>tion</w:t>
      </w:r>
      <w:r w:rsidR="00FF161E" w:rsidRPr="00FF161E">
        <w:rPr>
          <w:rFonts w:ascii="Public Sans" w:hAnsi="Public Sans"/>
          <w:sz w:val="20"/>
          <w:szCs w:val="20"/>
        </w:rPr>
        <w:t xml:space="preserve"> with </w:t>
      </w:r>
      <w:r w:rsidR="00F1141E">
        <w:rPr>
          <w:rFonts w:ascii="Public Sans" w:hAnsi="Public Sans"/>
          <w:sz w:val="20"/>
          <w:szCs w:val="20"/>
        </w:rPr>
        <w:t>C</w:t>
      </w:r>
      <w:r w:rsidR="00FF161E" w:rsidRPr="00FF161E">
        <w:rPr>
          <w:rFonts w:ascii="Public Sans" w:hAnsi="Public Sans"/>
          <w:sz w:val="20"/>
          <w:szCs w:val="20"/>
        </w:rPr>
        <w:t>ontractors on WHS matters</w:t>
      </w:r>
      <w:r w:rsidR="00FF161E">
        <w:rPr>
          <w:rFonts w:ascii="Public Sans" w:hAnsi="Public Sans"/>
          <w:sz w:val="20"/>
          <w:szCs w:val="20"/>
        </w:rPr>
        <w:t xml:space="preserve">, </w:t>
      </w:r>
      <w:r w:rsidR="00576D94">
        <w:rPr>
          <w:rFonts w:ascii="Public Sans" w:hAnsi="Public Sans"/>
          <w:sz w:val="20"/>
          <w:szCs w:val="20"/>
        </w:rPr>
        <w:t xml:space="preserve">including managing safety performance, </w:t>
      </w:r>
      <w:r w:rsidR="00FF161E" w:rsidRPr="00576D94">
        <w:rPr>
          <w:rFonts w:ascii="Public Sans" w:hAnsi="Public Sans"/>
          <w:b/>
          <w:bCs/>
          <w:sz w:val="20"/>
          <w:szCs w:val="20"/>
        </w:rPr>
        <w:t>must</w:t>
      </w:r>
      <w:r w:rsidR="00FF161E">
        <w:rPr>
          <w:rFonts w:ascii="Public Sans" w:hAnsi="Public Sans"/>
          <w:sz w:val="20"/>
          <w:szCs w:val="20"/>
        </w:rPr>
        <w:t xml:space="preserve"> be documented and retained for future reference</w:t>
      </w:r>
      <w:r w:rsidR="00FF161E" w:rsidRPr="00FF161E">
        <w:rPr>
          <w:rFonts w:ascii="Public Sans" w:hAnsi="Public Sans"/>
          <w:sz w:val="20"/>
          <w:szCs w:val="20"/>
        </w:rPr>
        <w:t>.</w:t>
      </w:r>
    </w:p>
    <w:p w14:paraId="540EFB21" w14:textId="77777777" w:rsidR="00905DF9" w:rsidRPr="00905DF9" w:rsidRDefault="00905DF9" w:rsidP="00905DF9">
      <w:pPr>
        <w:rPr>
          <w:rFonts w:ascii="Public Sans" w:hAnsi="Public Sans"/>
          <w:sz w:val="20"/>
          <w:szCs w:val="20"/>
        </w:rPr>
      </w:pPr>
    </w:p>
    <w:p w14:paraId="5357BFE7" w14:textId="77777777" w:rsidR="00717020" w:rsidRPr="00A75FE0" w:rsidRDefault="00717020" w:rsidP="00381D9C">
      <w:pPr>
        <w:rPr>
          <w:rFonts w:ascii="Public Sans" w:hAnsi="Public Sans"/>
          <w:sz w:val="20"/>
          <w:szCs w:val="20"/>
        </w:rPr>
      </w:pPr>
    </w:p>
    <w:sectPr w:rsidR="00717020" w:rsidRPr="00A75FE0" w:rsidSect="00381D9C">
      <w:headerReference w:type="default" r:id="rId18"/>
      <w:footerReference w:type="default" r:id="rId1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7360" w14:textId="77777777" w:rsidR="003A16A2" w:rsidRDefault="003A16A2" w:rsidP="00FE7D18">
      <w:pPr>
        <w:spacing w:after="0" w:line="240" w:lineRule="auto"/>
      </w:pPr>
      <w:r>
        <w:separator/>
      </w:r>
    </w:p>
  </w:endnote>
  <w:endnote w:type="continuationSeparator" w:id="0">
    <w:p w14:paraId="2C5D80B8" w14:textId="77777777" w:rsidR="003A16A2" w:rsidRDefault="003A16A2" w:rsidP="00F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61100578"/>
      <w:docPartObj>
        <w:docPartGallery w:val="Page Numbers (Bottom of Page)"/>
        <w:docPartUnique/>
      </w:docPartObj>
    </w:sdtPr>
    <w:sdtEndPr/>
    <w:sdtContent>
      <w:p w14:paraId="2F56E4B7" w14:textId="0796ADAF" w:rsidR="00397288" w:rsidRPr="00D15AAE" w:rsidRDefault="00C9555F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Appendix </w:t>
        </w:r>
        <w:r w:rsidR="004F3A3D">
          <w:rPr>
            <w:sz w:val="18"/>
            <w:szCs w:val="18"/>
            <w:lang w:val="en-US"/>
          </w:rPr>
          <w:t>3</w:t>
        </w:r>
        <w:r>
          <w:rPr>
            <w:sz w:val="18"/>
            <w:szCs w:val="18"/>
            <w:lang w:val="en-US"/>
          </w:rPr>
          <w:t xml:space="preserve"> – </w:t>
        </w:r>
        <w:r w:rsidR="009F4091">
          <w:rPr>
            <w:sz w:val="18"/>
            <w:szCs w:val="18"/>
            <w:lang w:val="en-US"/>
          </w:rPr>
          <w:t>Eng</w:t>
        </w:r>
        <w:r>
          <w:rPr>
            <w:sz w:val="18"/>
            <w:szCs w:val="18"/>
            <w:lang w:val="en-US"/>
          </w:rPr>
          <w:t xml:space="preserve">aging </w:t>
        </w:r>
        <w:r w:rsidR="0095086E">
          <w:rPr>
            <w:sz w:val="18"/>
            <w:szCs w:val="18"/>
            <w:lang w:val="en-US"/>
          </w:rPr>
          <w:t>goods and services</w:t>
        </w:r>
        <w:r>
          <w:rPr>
            <w:sz w:val="18"/>
            <w:szCs w:val="18"/>
            <w:lang w:val="en-US"/>
          </w:rPr>
          <w:t xml:space="preserve"> contractors</w:t>
        </w:r>
        <w:r w:rsidR="00397288" w:rsidRPr="00D15AAE">
          <w:rPr>
            <w:sz w:val="18"/>
            <w:szCs w:val="18"/>
            <w:lang w:val="en-US"/>
          </w:rPr>
          <w:t xml:space="preserve"> </w:t>
        </w:r>
      </w:p>
      <w:p w14:paraId="3391191F" w14:textId="3B32E618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Approved by: </w:t>
        </w:r>
        <w:r w:rsidR="009E02B6">
          <w:rPr>
            <w:sz w:val="18"/>
            <w:szCs w:val="18"/>
            <w:lang w:val="en-US"/>
          </w:rPr>
          <w:t>DCPO, S&amp;W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Version: 1.0 </w:t>
        </w:r>
      </w:p>
      <w:p w14:paraId="607D8F87" w14:textId="2559E2C9" w:rsidR="00397288" w:rsidRPr="00D15AAE" w:rsidRDefault="00C9555F" w:rsidP="0039728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  <w:lang w:val="en-US"/>
          </w:rPr>
          <w:t xml:space="preserve">Release Date: </w:t>
        </w:r>
        <w:r w:rsidR="009E02B6">
          <w:rPr>
            <w:sz w:val="18"/>
            <w:szCs w:val="18"/>
            <w:lang w:val="en-US"/>
          </w:rPr>
          <w:t>1 November 2025</w:t>
        </w:r>
        <w:r w:rsidR="00397288">
          <w:rPr>
            <w:sz w:val="18"/>
            <w:szCs w:val="18"/>
            <w:lang w:val="en-US"/>
          </w:rPr>
          <w:t xml:space="preserve">                               </w:t>
        </w:r>
        <w:r w:rsidR="00397288" w:rsidRPr="00D15AAE">
          <w:rPr>
            <w:sz w:val="18"/>
            <w:szCs w:val="18"/>
            <w:lang w:val="en-US"/>
          </w:rPr>
          <w:t>Review D</w:t>
        </w:r>
        <w:r>
          <w:rPr>
            <w:sz w:val="18"/>
            <w:szCs w:val="18"/>
            <w:lang w:val="en-US"/>
          </w:rPr>
          <w:t xml:space="preserve">ate: </w:t>
        </w:r>
        <w:r w:rsidR="009E02B6">
          <w:rPr>
            <w:sz w:val="18"/>
            <w:szCs w:val="18"/>
            <w:lang w:val="en-US"/>
          </w:rPr>
          <w:t>1 November 2028</w:t>
        </w:r>
        <w:r w:rsidR="00397288">
          <w:rPr>
            <w:sz w:val="18"/>
            <w:szCs w:val="18"/>
            <w:lang w:val="en-US"/>
          </w:rPr>
          <w:t xml:space="preserve"> </w:t>
        </w:r>
        <w:r w:rsidR="00397288">
          <w:rPr>
            <w:sz w:val="18"/>
            <w:szCs w:val="18"/>
            <w:lang w:val="en-US"/>
          </w:rPr>
          <w:tab/>
        </w:r>
        <w:r w:rsidR="00397288" w:rsidRPr="00D15AAE">
          <w:rPr>
            <w:sz w:val="18"/>
            <w:szCs w:val="18"/>
            <w:lang w:val="en-US"/>
          </w:rPr>
          <w:t xml:space="preserve"> </w:t>
        </w:r>
        <w:r w:rsidR="00397288" w:rsidRPr="00D15AAE">
          <w:rPr>
            <w:sz w:val="18"/>
            <w:szCs w:val="18"/>
          </w:rPr>
          <w:t xml:space="preserve">Page | </w:t>
        </w:r>
        <w:r w:rsidR="00397288" w:rsidRPr="00D15AAE">
          <w:rPr>
            <w:sz w:val="18"/>
            <w:szCs w:val="18"/>
          </w:rPr>
          <w:fldChar w:fldCharType="begin"/>
        </w:r>
        <w:r w:rsidR="00397288" w:rsidRPr="00D15AAE">
          <w:rPr>
            <w:sz w:val="18"/>
            <w:szCs w:val="18"/>
          </w:rPr>
          <w:instrText xml:space="preserve"> PAGE   \* MERGEFORMAT </w:instrText>
        </w:r>
        <w:r w:rsidR="00397288" w:rsidRPr="00D15AA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397288" w:rsidRPr="00D15AAE">
          <w:rPr>
            <w:noProof/>
            <w:sz w:val="18"/>
            <w:szCs w:val="18"/>
          </w:rPr>
          <w:fldChar w:fldCharType="end"/>
        </w:r>
        <w:r w:rsidR="00397288" w:rsidRPr="00D15AAE">
          <w:rPr>
            <w:sz w:val="18"/>
            <w:szCs w:val="18"/>
          </w:rPr>
          <w:t xml:space="preserve"> </w:t>
        </w:r>
      </w:p>
      <w:p w14:paraId="4BF82301" w14:textId="77777777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</w:rPr>
          <w:t>This process is uncontrolled after printing</w:t>
        </w:r>
      </w:p>
    </w:sdtContent>
  </w:sdt>
  <w:p w14:paraId="31E48E21" w14:textId="77777777" w:rsidR="00397288" w:rsidRDefault="00397288" w:rsidP="0039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0BAC" w14:textId="77777777" w:rsidR="003A16A2" w:rsidRDefault="003A16A2" w:rsidP="00FE7D18">
      <w:pPr>
        <w:spacing w:after="0" w:line="240" w:lineRule="auto"/>
      </w:pPr>
      <w:r>
        <w:separator/>
      </w:r>
    </w:p>
  </w:footnote>
  <w:footnote w:type="continuationSeparator" w:id="0">
    <w:p w14:paraId="1E86E810" w14:textId="77777777" w:rsidR="003A16A2" w:rsidRDefault="003A16A2" w:rsidP="00FE7D18">
      <w:pPr>
        <w:spacing w:after="0" w:line="240" w:lineRule="auto"/>
      </w:pPr>
      <w:r>
        <w:continuationSeparator/>
      </w:r>
    </w:p>
  </w:footnote>
  <w:footnote w:id="1">
    <w:p w14:paraId="3FB0A92E" w14:textId="2072D4D0" w:rsidR="0004104A" w:rsidRDefault="00041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84156">
        <w:t>The University</w:t>
      </w:r>
      <w:r>
        <w:t xml:space="preserve"> is a person conducting a business or undertaking (PCBU), s5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F0CA" w14:textId="2ADB9DA3" w:rsidR="003A6139" w:rsidRPr="009E02B6" w:rsidRDefault="00397288" w:rsidP="00397288">
    <w:pPr>
      <w:pStyle w:val="Header"/>
      <w:jc w:val="center"/>
      <w:rPr>
        <w:rFonts w:ascii="Public Sans" w:hAnsi="Public Sans"/>
        <w:i/>
        <w:sz w:val="28"/>
        <w:szCs w:val="28"/>
      </w:rPr>
    </w:pPr>
    <w:r w:rsidRPr="00F9784A">
      <w:rPr>
        <w:rFonts w:ascii="Public Sans" w:hAnsi="Public Sans"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5970C835" wp14:editId="468555E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409700" cy="564998"/>
          <wp:effectExtent l="0" t="0" r="0" b="6985"/>
          <wp:wrapNone/>
          <wp:docPr id="1" name="Picture 1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6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84A">
      <w:rPr>
        <w:rFonts w:ascii="Public Sans" w:hAnsi="Public Sans"/>
        <w:b/>
        <w:sz w:val="36"/>
        <w:szCs w:val="36"/>
      </w:rPr>
      <w:t xml:space="preserve">                  </w:t>
    </w:r>
    <w:r w:rsidR="009E02B6">
      <w:rPr>
        <w:rFonts w:ascii="Public Sans" w:hAnsi="Public Sans"/>
        <w:b/>
        <w:sz w:val="36"/>
        <w:szCs w:val="36"/>
      </w:rPr>
      <w:t xml:space="preserve">      </w:t>
    </w:r>
    <w:r w:rsidR="009E02B6" w:rsidRPr="009E02B6">
      <w:rPr>
        <w:rFonts w:ascii="Public Sans" w:hAnsi="Public Sans"/>
        <w:b/>
        <w:sz w:val="28"/>
        <w:szCs w:val="28"/>
      </w:rPr>
      <w:t xml:space="preserve">Appendix 3 – </w:t>
    </w:r>
    <w:r w:rsidR="009F4091" w:rsidRPr="009E02B6">
      <w:rPr>
        <w:rFonts w:ascii="Public Sans" w:hAnsi="Public Sans"/>
        <w:b/>
        <w:sz w:val="28"/>
        <w:szCs w:val="28"/>
      </w:rPr>
      <w:t>Eng</w:t>
    </w:r>
    <w:r w:rsidR="00C9555F" w:rsidRPr="009E02B6">
      <w:rPr>
        <w:rFonts w:ascii="Public Sans" w:hAnsi="Public Sans"/>
        <w:b/>
        <w:sz w:val="28"/>
        <w:szCs w:val="28"/>
      </w:rPr>
      <w:t xml:space="preserve">aging </w:t>
    </w:r>
    <w:r w:rsidR="00E967A1" w:rsidRPr="009E02B6">
      <w:rPr>
        <w:rFonts w:ascii="Public Sans" w:hAnsi="Public Sans"/>
        <w:b/>
        <w:sz w:val="28"/>
        <w:szCs w:val="28"/>
      </w:rPr>
      <w:t>goods and services</w:t>
    </w:r>
    <w:r w:rsidR="00C9555F" w:rsidRPr="009E02B6">
      <w:rPr>
        <w:rFonts w:ascii="Public Sans" w:hAnsi="Public Sans"/>
        <w:b/>
        <w:sz w:val="28"/>
        <w:szCs w:val="28"/>
      </w:rPr>
      <w:t xml:space="preserve">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.45pt;height:50.1pt" o:bullet="t">
        <v:imagedata r:id="rId1" o:title="ANU_Crest_Inversed_Gold"/>
      </v:shape>
    </w:pict>
  </w:numPicBullet>
  <w:abstractNum w:abstractNumId="0" w15:restartNumberingAfterBreak="0">
    <w:nsid w:val="09EA0541"/>
    <w:multiLevelType w:val="hybridMultilevel"/>
    <w:tmpl w:val="8F2ACA5A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204"/>
    <w:multiLevelType w:val="hybridMultilevel"/>
    <w:tmpl w:val="BF72F78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3FC"/>
    <w:multiLevelType w:val="hybridMultilevel"/>
    <w:tmpl w:val="6B3682DA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6509"/>
    <w:multiLevelType w:val="hybridMultilevel"/>
    <w:tmpl w:val="2A32256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226E"/>
    <w:multiLevelType w:val="hybridMultilevel"/>
    <w:tmpl w:val="4084631C"/>
    <w:lvl w:ilvl="0" w:tplc="8918C0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0215"/>
    <w:multiLevelType w:val="hybridMultilevel"/>
    <w:tmpl w:val="5BE27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4B10"/>
    <w:multiLevelType w:val="multilevel"/>
    <w:tmpl w:val="0C09001D"/>
    <w:styleLink w:val="1ai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6B0120"/>
    <w:multiLevelType w:val="hybridMultilevel"/>
    <w:tmpl w:val="2000E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A07F3"/>
    <w:multiLevelType w:val="hybridMultilevel"/>
    <w:tmpl w:val="620CC1C4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0612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8B216D"/>
    <w:multiLevelType w:val="hybridMultilevel"/>
    <w:tmpl w:val="20E2C93E"/>
    <w:lvl w:ilvl="0" w:tplc="AECAF128">
      <w:start w:val="1"/>
      <w:numFmt w:val="bullet"/>
      <w:lvlText w:val=""/>
      <w:lvlPicBulletId w:val="0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526F25A8"/>
    <w:multiLevelType w:val="hybridMultilevel"/>
    <w:tmpl w:val="CFEE709A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10DC6"/>
    <w:multiLevelType w:val="hybridMultilevel"/>
    <w:tmpl w:val="8CB216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A72A9"/>
    <w:multiLevelType w:val="hybridMultilevel"/>
    <w:tmpl w:val="2C504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066E"/>
    <w:multiLevelType w:val="hybridMultilevel"/>
    <w:tmpl w:val="B0040748"/>
    <w:lvl w:ilvl="0" w:tplc="AECAF12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7C956D5"/>
    <w:multiLevelType w:val="hybridMultilevel"/>
    <w:tmpl w:val="D4985DBE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1226F"/>
    <w:multiLevelType w:val="hybridMultilevel"/>
    <w:tmpl w:val="8FF2A68A"/>
    <w:lvl w:ilvl="0" w:tplc="AECAF1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47315"/>
    <w:multiLevelType w:val="hybridMultilevel"/>
    <w:tmpl w:val="57640910"/>
    <w:lvl w:ilvl="0" w:tplc="AECAF12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E67F31"/>
    <w:multiLevelType w:val="hybridMultilevel"/>
    <w:tmpl w:val="021406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1705">
    <w:abstractNumId w:val="5"/>
  </w:num>
  <w:num w:numId="2" w16cid:durableId="1911958146">
    <w:abstractNumId w:val="9"/>
  </w:num>
  <w:num w:numId="3" w16cid:durableId="1951013703">
    <w:abstractNumId w:val="6"/>
  </w:num>
  <w:num w:numId="4" w16cid:durableId="766585227">
    <w:abstractNumId w:val="13"/>
  </w:num>
  <w:num w:numId="5" w16cid:durableId="731201827">
    <w:abstractNumId w:val="10"/>
  </w:num>
  <w:num w:numId="6" w16cid:durableId="898782018">
    <w:abstractNumId w:val="14"/>
  </w:num>
  <w:num w:numId="7" w16cid:durableId="377097331">
    <w:abstractNumId w:val="11"/>
  </w:num>
  <w:num w:numId="8" w16cid:durableId="1611207107">
    <w:abstractNumId w:val="0"/>
  </w:num>
  <w:num w:numId="9" w16cid:durableId="1182744126">
    <w:abstractNumId w:val="3"/>
  </w:num>
  <w:num w:numId="10" w16cid:durableId="1409115738">
    <w:abstractNumId w:val="1"/>
  </w:num>
  <w:num w:numId="11" w16cid:durableId="704792075">
    <w:abstractNumId w:val="12"/>
  </w:num>
  <w:num w:numId="12" w16cid:durableId="1509058326">
    <w:abstractNumId w:val="7"/>
  </w:num>
  <w:num w:numId="13" w16cid:durableId="1140927406">
    <w:abstractNumId w:val="16"/>
  </w:num>
  <w:num w:numId="14" w16cid:durableId="1880360223">
    <w:abstractNumId w:val="2"/>
  </w:num>
  <w:num w:numId="15" w16cid:durableId="1098990253">
    <w:abstractNumId w:val="8"/>
  </w:num>
  <w:num w:numId="16" w16cid:durableId="1011957429">
    <w:abstractNumId w:val="17"/>
  </w:num>
  <w:num w:numId="17" w16cid:durableId="992098301">
    <w:abstractNumId w:val="4"/>
  </w:num>
  <w:num w:numId="18" w16cid:durableId="2075078545">
    <w:abstractNumId w:val="18"/>
  </w:num>
  <w:num w:numId="19" w16cid:durableId="34965169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18"/>
    <w:rsid w:val="00002796"/>
    <w:rsid w:val="0001261A"/>
    <w:rsid w:val="00013528"/>
    <w:rsid w:val="0002239C"/>
    <w:rsid w:val="000239EA"/>
    <w:rsid w:val="000269C0"/>
    <w:rsid w:val="00026C06"/>
    <w:rsid w:val="00032197"/>
    <w:rsid w:val="00032E54"/>
    <w:rsid w:val="0003457F"/>
    <w:rsid w:val="000360B6"/>
    <w:rsid w:val="00040AA0"/>
    <w:rsid w:val="0004104A"/>
    <w:rsid w:val="00042501"/>
    <w:rsid w:val="0004340C"/>
    <w:rsid w:val="000464B6"/>
    <w:rsid w:val="00052E5A"/>
    <w:rsid w:val="00054014"/>
    <w:rsid w:val="00060B9E"/>
    <w:rsid w:val="00065033"/>
    <w:rsid w:val="00071A9C"/>
    <w:rsid w:val="00090940"/>
    <w:rsid w:val="00093DAC"/>
    <w:rsid w:val="00094C94"/>
    <w:rsid w:val="000A1840"/>
    <w:rsid w:val="000A3F30"/>
    <w:rsid w:val="000A5628"/>
    <w:rsid w:val="000B4894"/>
    <w:rsid w:val="000C0E0A"/>
    <w:rsid w:val="000C7141"/>
    <w:rsid w:val="000C7640"/>
    <w:rsid w:val="000D1546"/>
    <w:rsid w:val="000D4B83"/>
    <w:rsid w:val="000E065B"/>
    <w:rsid w:val="000E5A54"/>
    <w:rsid w:val="000F0222"/>
    <w:rsid w:val="000F341F"/>
    <w:rsid w:val="001027AC"/>
    <w:rsid w:val="0010437C"/>
    <w:rsid w:val="00104C47"/>
    <w:rsid w:val="00110393"/>
    <w:rsid w:val="00111404"/>
    <w:rsid w:val="001212F3"/>
    <w:rsid w:val="001243C6"/>
    <w:rsid w:val="001264E9"/>
    <w:rsid w:val="001320B8"/>
    <w:rsid w:val="001341F7"/>
    <w:rsid w:val="00135A13"/>
    <w:rsid w:val="0013661A"/>
    <w:rsid w:val="001402D6"/>
    <w:rsid w:val="0014267D"/>
    <w:rsid w:val="00144252"/>
    <w:rsid w:val="00144F41"/>
    <w:rsid w:val="001556C4"/>
    <w:rsid w:val="00155875"/>
    <w:rsid w:val="0015634B"/>
    <w:rsid w:val="0015743B"/>
    <w:rsid w:val="0016205E"/>
    <w:rsid w:val="001628EB"/>
    <w:rsid w:val="00167121"/>
    <w:rsid w:val="00170F6F"/>
    <w:rsid w:val="0017226A"/>
    <w:rsid w:val="00176323"/>
    <w:rsid w:val="0017721C"/>
    <w:rsid w:val="00177809"/>
    <w:rsid w:val="00192B14"/>
    <w:rsid w:val="00194D42"/>
    <w:rsid w:val="001A2156"/>
    <w:rsid w:val="001A6A24"/>
    <w:rsid w:val="001B024E"/>
    <w:rsid w:val="001B0C66"/>
    <w:rsid w:val="001B0E7B"/>
    <w:rsid w:val="001B0F32"/>
    <w:rsid w:val="001B7974"/>
    <w:rsid w:val="001C1787"/>
    <w:rsid w:val="001C328C"/>
    <w:rsid w:val="001D27AC"/>
    <w:rsid w:val="001D420C"/>
    <w:rsid w:val="001E31D8"/>
    <w:rsid w:val="001E695B"/>
    <w:rsid w:val="00200060"/>
    <w:rsid w:val="00200497"/>
    <w:rsid w:val="00200A2E"/>
    <w:rsid w:val="002031F4"/>
    <w:rsid w:val="00203D7D"/>
    <w:rsid w:val="0020662A"/>
    <w:rsid w:val="00214F89"/>
    <w:rsid w:val="002212DF"/>
    <w:rsid w:val="00225391"/>
    <w:rsid w:val="00240B97"/>
    <w:rsid w:val="002413C5"/>
    <w:rsid w:val="00245483"/>
    <w:rsid w:val="00261236"/>
    <w:rsid w:val="002668AD"/>
    <w:rsid w:val="0027002E"/>
    <w:rsid w:val="00271D0A"/>
    <w:rsid w:val="0027291A"/>
    <w:rsid w:val="00273E8D"/>
    <w:rsid w:val="0027511A"/>
    <w:rsid w:val="002804E3"/>
    <w:rsid w:val="002A127E"/>
    <w:rsid w:val="002B1556"/>
    <w:rsid w:val="002B567E"/>
    <w:rsid w:val="002B6158"/>
    <w:rsid w:val="002B7896"/>
    <w:rsid w:val="002C2749"/>
    <w:rsid w:val="002C3882"/>
    <w:rsid w:val="002D4D1A"/>
    <w:rsid w:val="00300E15"/>
    <w:rsid w:val="003025CF"/>
    <w:rsid w:val="00305C38"/>
    <w:rsid w:val="0030603B"/>
    <w:rsid w:val="003160D4"/>
    <w:rsid w:val="00316598"/>
    <w:rsid w:val="00317703"/>
    <w:rsid w:val="00322C88"/>
    <w:rsid w:val="0033685C"/>
    <w:rsid w:val="003425A7"/>
    <w:rsid w:val="00345337"/>
    <w:rsid w:val="00350FC7"/>
    <w:rsid w:val="003514D7"/>
    <w:rsid w:val="0035158E"/>
    <w:rsid w:val="003658D5"/>
    <w:rsid w:val="00365A5F"/>
    <w:rsid w:val="00366321"/>
    <w:rsid w:val="00370DA9"/>
    <w:rsid w:val="003773B0"/>
    <w:rsid w:val="00381D9C"/>
    <w:rsid w:val="00384156"/>
    <w:rsid w:val="0038502F"/>
    <w:rsid w:val="00385381"/>
    <w:rsid w:val="00386E73"/>
    <w:rsid w:val="003906F9"/>
    <w:rsid w:val="0039714E"/>
    <w:rsid w:val="00397288"/>
    <w:rsid w:val="003A16A2"/>
    <w:rsid w:val="003A589C"/>
    <w:rsid w:val="003A6139"/>
    <w:rsid w:val="003A7E51"/>
    <w:rsid w:val="003B17C9"/>
    <w:rsid w:val="003B38FE"/>
    <w:rsid w:val="003B6203"/>
    <w:rsid w:val="003B6E43"/>
    <w:rsid w:val="003C1031"/>
    <w:rsid w:val="003C3661"/>
    <w:rsid w:val="003E18FB"/>
    <w:rsid w:val="003E41D4"/>
    <w:rsid w:val="003E59BB"/>
    <w:rsid w:val="003F3F9A"/>
    <w:rsid w:val="003F5C4A"/>
    <w:rsid w:val="00415214"/>
    <w:rsid w:val="00421701"/>
    <w:rsid w:val="00430858"/>
    <w:rsid w:val="00434EEA"/>
    <w:rsid w:val="00435F87"/>
    <w:rsid w:val="004366F0"/>
    <w:rsid w:val="00440E80"/>
    <w:rsid w:val="00444107"/>
    <w:rsid w:val="00445D95"/>
    <w:rsid w:val="00445F48"/>
    <w:rsid w:val="00447C41"/>
    <w:rsid w:val="004500E9"/>
    <w:rsid w:val="00460284"/>
    <w:rsid w:val="0046105C"/>
    <w:rsid w:val="00467D43"/>
    <w:rsid w:val="0047124E"/>
    <w:rsid w:val="0047479C"/>
    <w:rsid w:val="004776CF"/>
    <w:rsid w:val="00480636"/>
    <w:rsid w:val="00482D64"/>
    <w:rsid w:val="00485CA4"/>
    <w:rsid w:val="00494367"/>
    <w:rsid w:val="00494A28"/>
    <w:rsid w:val="004A5779"/>
    <w:rsid w:val="004A73A1"/>
    <w:rsid w:val="004B5816"/>
    <w:rsid w:val="004C4B16"/>
    <w:rsid w:val="004C6FF3"/>
    <w:rsid w:val="004D1E4B"/>
    <w:rsid w:val="004D4301"/>
    <w:rsid w:val="004E5452"/>
    <w:rsid w:val="004E6B1F"/>
    <w:rsid w:val="004F3A3D"/>
    <w:rsid w:val="00501EDB"/>
    <w:rsid w:val="00504638"/>
    <w:rsid w:val="00512507"/>
    <w:rsid w:val="00520E2B"/>
    <w:rsid w:val="005224D0"/>
    <w:rsid w:val="005228BE"/>
    <w:rsid w:val="005230DA"/>
    <w:rsid w:val="00526D7A"/>
    <w:rsid w:val="00531C19"/>
    <w:rsid w:val="0053345A"/>
    <w:rsid w:val="00533D8D"/>
    <w:rsid w:val="00537A86"/>
    <w:rsid w:val="00550A40"/>
    <w:rsid w:val="00571941"/>
    <w:rsid w:val="00576D94"/>
    <w:rsid w:val="00581474"/>
    <w:rsid w:val="005822B1"/>
    <w:rsid w:val="005841F1"/>
    <w:rsid w:val="005939D4"/>
    <w:rsid w:val="005956CF"/>
    <w:rsid w:val="005A7659"/>
    <w:rsid w:val="005B19C5"/>
    <w:rsid w:val="005B3F7A"/>
    <w:rsid w:val="005B6CC5"/>
    <w:rsid w:val="005B6F0D"/>
    <w:rsid w:val="005C1808"/>
    <w:rsid w:val="005C22BC"/>
    <w:rsid w:val="005C789A"/>
    <w:rsid w:val="005E1C0E"/>
    <w:rsid w:val="00602D43"/>
    <w:rsid w:val="006053A7"/>
    <w:rsid w:val="00620B31"/>
    <w:rsid w:val="00622719"/>
    <w:rsid w:val="00625E56"/>
    <w:rsid w:val="0062756E"/>
    <w:rsid w:val="00633E10"/>
    <w:rsid w:val="00637B4E"/>
    <w:rsid w:val="00640D8F"/>
    <w:rsid w:val="00645034"/>
    <w:rsid w:val="00645183"/>
    <w:rsid w:val="00647AC0"/>
    <w:rsid w:val="00653A53"/>
    <w:rsid w:val="00662B30"/>
    <w:rsid w:val="0066348D"/>
    <w:rsid w:val="00665565"/>
    <w:rsid w:val="00671FE3"/>
    <w:rsid w:val="00672FAD"/>
    <w:rsid w:val="00680080"/>
    <w:rsid w:val="0068154D"/>
    <w:rsid w:val="00681B9A"/>
    <w:rsid w:val="00683A89"/>
    <w:rsid w:val="006877E2"/>
    <w:rsid w:val="0069089F"/>
    <w:rsid w:val="0069130F"/>
    <w:rsid w:val="0069530E"/>
    <w:rsid w:val="00695F0E"/>
    <w:rsid w:val="006A43F0"/>
    <w:rsid w:val="006A446D"/>
    <w:rsid w:val="006A4B9F"/>
    <w:rsid w:val="006B043E"/>
    <w:rsid w:val="006B2A05"/>
    <w:rsid w:val="006B2B99"/>
    <w:rsid w:val="006B48D8"/>
    <w:rsid w:val="006C75AA"/>
    <w:rsid w:val="006D0AEB"/>
    <w:rsid w:val="006D101A"/>
    <w:rsid w:val="006D552D"/>
    <w:rsid w:val="006D640A"/>
    <w:rsid w:val="006E0465"/>
    <w:rsid w:val="006E1EEF"/>
    <w:rsid w:val="006E2227"/>
    <w:rsid w:val="006F533F"/>
    <w:rsid w:val="006F6F92"/>
    <w:rsid w:val="00701DAE"/>
    <w:rsid w:val="007041A9"/>
    <w:rsid w:val="0071086A"/>
    <w:rsid w:val="007111A7"/>
    <w:rsid w:val="007116CE"/>
    <w:rsid w:val="00713A5B"/>
    <w:rsid w:val="0071599F"/>
    <w:rsid w:val="00717020"/>
    <w:rsid w:val="007274D3"/>
    <w:rsid w:val="007367AA"/>
    <w:rsid w:val="00745B7A"/>
    <w:rsid w:val="00750EDD"/>
    <w:rsid w:val="00752D00"/>
    <w:rsid w:val="00753338"/>
    <w:rsid w:val="0075556F"/>
    <w:rsid w:val="007555F5"/>
    <w:rsid w:val="00756AC7"/>
    <w:rsid w:val="00756DAE"/>
    <w:rsid w:val="00771066"/>
    <w:rsid w:val="0077197A"/>
    <w:rsid w:val="00774DD8"/>
    <w:rsid w:val="007802C1"/>
    <w:rsid w:val="007813C6"/>
    <w:rsid w:val="0078604A"/>
    <w:rsid w:val="00786CE6"/>
    <w:rsid w:val="00797547"/>
    <w:rsid w:val="007A132E"/>
    <w:rsid w:val="007B2E0B"/>
    <w:rsid w:val="007C0109"/>
    <w:rsid w:val="007C50E1"/>
    <w:rsid w:val="007D2B41"/>
    <w:rsid w:val="007D6F16"/>
    <w:rsid w:val="007D7CA4"/>
    <w:rsid w:val="007E2113"/>
    <w:rsid w:val="007E68BC"/>
    <w:rsid w:val="007E69B4"/>
    <w:rsid w:val="007F5B81"/>
    <w:rsid w:val="00804545"/>
    <w:rsid w:val="0081303C"/>
    <w:rsid w:val="00820BC9"/>
    <w:rsid w:val="0082398D"/>
    <w:rsid w:val="0082624D"/>
    <w:rsid w:val="008406F5"/>
    <w:rsid w:val="00845DE2"/>
    <w:rsid w:val="00846124"/>
    <w:rsid w:val="00853616"/>
    <w:rsid w:val="00861674"/>
    <w:rsid w:val="0086217E"/>
    <w:rsid w:val="00862A62"/>
    <w:rsid w:val="00867369"/>
    <w:rsid w:val="00873C8D"/>
    <w:rsid w:val="0087765B"/>
    <w:rsid w:val="008777EE"/>
    <w:rsid w:val="00882F07"/>
    <w:rsid w:val="008855F3"/>
    <w:rsid w:val="00885ED5"/>
    <w:rsid w:val="00887341"/>
    <w:rsid w:val="00897915"/>
    <w:rsid w:val="008A01AD"/>
    <w:rsid w:val="008A451D"/>
    <w:rsid w:val="008A71EB"/>
    <w:rsid w:val="008A7F14"/>
    <w:rsid w:val="008B0428"/>
    <w:rsid w:val="008C5BFA"/>
    <w:rsid w:val="008C71E5"/>
    <w:rsid w:val="008C7392"/>
    <w:rsid w:val="008D03E2"/>
    <w:rsid w:val="008D0DD1"/>
    <w:rsid w:val="008D2192"/>
    <w:rsid w:val="008D51D2"/>
    <w:rsid w:val="008E061B"/>
    <w:rsid w:val="008E0F78"/>
    <w:rsid w:val="008E3424"/>
    <w:rsid w:val="008E6260"/>
    <w:rsid w:val="008E7806"/>
    <w:rsid w:val="008F5D74"/>
    <w:rsid w:val="008F6889"/>
    <w:rsid w:val="009015E2"/>
    <w:rsid w:val="009039DB"/>
    <w:rsid w:val="00905483"/>
    <w:rsid w:val="00905DF9"/>
    <w:rsid w:val="00911B36"/>
    <w:rsid w:val="0091738D"/>
    <w:rsid w:val="00922094"/>
    <w:rsid w:val="00924D6E"/>
    <w:rsid w:val="00925D5D"/>
    <w:rsid w:val="00926387"/>
    <w:rsid w:val="00926E82"/>
    <w:rsid w:val="0093278D"/>
    <w:rsid w:val="00933EE6"/>
    <w:rsid w:val="00936523"/>
    <w:rsid w:val="009376A9"/>
    <w:rsid w:val="009447C7"/>
    <w:rsid w:val="0095086E"/>
    <w:rsid w:val="009578AA"/>
    <w:rsid w:val="0096374C"/>
    <w:rsid w:val="00965993"/>
    <w:rsid w:val="009662D3"/>
    <w:rsid w:val="009715DF"/>
    <w:rsid w:val="00972924"/>
    <w:rsid w:val="009733A7"/>
    <w:rsid w:val="009752E8"/>
    <w:rsid w:val="009757FA"/>
    <w:rsid w:val="009922CB"/>
    <w:rsid w:val="00993F66"/>
    <w:rsid w:val="009A1217"/>
    <w:rsid w:val="009A2AAA"/>
    <w:rsid w:val="009A3AA9"/>
    <w:rsid w:val="009A5AEC"/>
    <w:rsid w:val="009B4E9A"/>
    <w:rsid w:val="009C07D8"/>
    <w:rsid w:val="009C0DAB"/>
    <w:rsid w:val="009C0DC3"/>
    <w:rsid w:val="009C15E8"/>
    <w:rsid w:val="009C3978"/>
    <w:rsid w:val="009C4800"/>
    <w:rsid w:val="009E02B6"/>
    <w:rsid w:val="009E06CD"/>
    <w:rsid w:val="009E250C"/>
    <w:rsid w:val="009E40D0"/>
    <w:rsid w:val="009E4C3F"/>
    <w:rsid w:val="009E69BC"/>
    <w:rsid w:val="009F066F"/>
    <w:rsid w:val="009F4091"/>
    <w:rsid w:val="009F6FC4"/>
    <w:rsid w:val="009F7A7C"/>
    <w:rsid w:val="00A04C5D"/>
    <w:rsid w:val="00A05BE6"/>
    <w:rsid w:val="00A1748C"/>
    <w:rsid w:val="00A24876"/>
    <w:rsid w:val="00A25A1C"/>
    <w:rsid w:val="00A32DDE"/>
    <w:rsid w:val="00A32F71"/>
    <w:rsid w:val="00A3373D"/>
    <w:rsid w:val="00A45B1E"/>
    <w:rsid w:val="00A65F62"/>
    <w:rsid w:val="00A7542B"/>
    <w:rsid w:val="00A75FE0"/>
    <w:rsid w:val="00A76AF5"/>
    <w:rsid w:val="00A7706B"/>
    <w:rsid w:val="00A81316"/>
    <w:rsid w:val="00A909B2"/>
    <w:rsid w:val="00A91C46"/>
    <w:rsid w:val="00AA39F5"/>
    <w:rsid w:val="00AC0547"/>
    <w:rsid w:val="00AC3F1B"/>
    <w:rsid w:val="00AC6D45"/>
    <w:rsid w:val="00AC70E4"/>
    <w:rsid w:val="00AD43CA"/>
    <w:rsid w:val="00AD49D4"/>
    <w:rsid w:val="00AE1F7F"/>
    <w:rsid w:val="00AE538B"/>
    <w:rsid w:val="00AF5A18"/>
    <w:rsid w:val="00B007C2"/>
    <w:rsid w:val="00B10B24"/>
    <w:rsid w:val="00B2285B"/>
    <w:rsid w:val="00B23826"/>
    <w:rsid w:val="00B268AD"/>
    <w:rsid w:val="00B32439"/>
    <w:rsid w:val="00B3488A"/>
    <w:rsid w:val="00B34962"/>
    <w:rsid w:val="00B468D3"/>
    <w:rsid w:val="00B47287"/>
    <w:rsid w:val="00B5132B"/>
    <w:rsid w:val="00B527DD"/>
    <w:rsid w:val="00B573C4"/>
    <w:rsid w:val="00B57CCA"/>
    <w:rsid w:val="00B63158"/>
    <w:rsid w:val="00B644FF"/>
    <w:rsid w:val="00B7056A"/>
    <w:rsid w:val="00B71C49"/>
    <w:rsid w:val="00B813F0"/>
    <w:rsid w:val="00B92954"/>
    <w:rsid w:val="00B947E6"/>
    <w:rsid w:val="00B95F59"/>
    <w:rsid w:val="00B97C87"/>
    <w:rsid w:val="00BA2659"/>
    <w:rsid w:val="00BA312C"/>
    <w:rsid w:val="00BB2B08"/>
    <w:rsid w:val="00BB7052"/>
    <w:rsid w:val="00BC393B"/>
    <w:rsid w:val="00BC74F8"/>
    <w:rsid w:val="00BC7743"/>
    <w:rsid w:val="00BD5261"/>
    <w:rsid w:val="00BE05D3"/>
    <w:rsid w:val="00BE3118"/>
    <w:rsid w:val="00BE43D2"/>
    <w:rsid w:val="00BE5EAF"/>
    <w:rsid w:val="00BF398D"/>
    <w:rsid w:val="00BF58B3"/>
    <w:rsid w:val="00C0189D"/>
    <w:rsid w:val="00C028F4"/>
    <w:rsid w:val="00C0762A"/>
    <w:rsid w:val="00C126FD"/>
    <w:rsid w:val="00C14953"/>
    <w:rsid w:val="00C17F44"/>
    <w:rsid w:val="00C32C25"/>
    <w:rsid w:val="00C35757"/>
    <w:rsid w:val="00C51856"/>
    <w:rsid w:val="00C52EC0"/>
    <w:rsid w:val="00C56588"/>
    <w:rsid w:val="00C57920"/>
    <w:rsid w:val="00C6766D"/>
    <w:rsid w:val="00C83723"/>
    <w:rsid w:val="00C84595"/>
    <w:rsid w:val="00C9542C"/>
    <w:rsid w:val="00C9555F"/>
    <w:rsid w:val="00C9738E"/>
    <w:rsid w:val="00CA723C"/>
    <w:rsid w:val="00CB0BDD"/>
    <w:rsid w:val="00CB4E29"/>
    <w:rsid w:val="00CC2B4E"/>
    <w:rsid w:val="00CC3480"/>
    <w:rsid w:val="00CC46AF"/>
    <w:rsid w:val="00CC4A64"/>
    <w:rsid w:val="00CD0675"/>
    <w:rsid w:val="00CD1CDF"/>
    <w:rsid w:val="00CE106B"/>
    <w:rsid w:val="00CE561A"/>
    <w:rsid w:val="00CF11B0"/>
    <w:rsid w:val="00CF1680"/>
    <w:rsid w:val="00CF445D"/>
    <w:rsid w:val="00D017E5"/>
    <w:rsid w:val="00D02A6C"/>
    <w:rsid w:val="00D10911"/>
    <w:rsid w:val="00D155A0"/>
    <w:rsid w:val="00D31335"/>
    <w:rsid w:val="00D34EEF"/>
    <w:rsid w:val="00D43124"/>
    <w:rsid w:val="00D44D54"/>
    <w:rsid w:val="00D45D45"/>
    <w:rsid w:val="00D509EB"/>
    <w:rsid w:val="00D612A5"/>
    <w:rsid w:val="00D66292"/>
    <w:rsid w:val="00D6657E"/>
    <w:rsid w:val="00D67D0B"/>
    <w:rsid w:val="00D72F1C"/>
    <w:rsid w:val="00D74199"/>
    <w:rsid w:val="00D774C1"/>
    <w:rsid w:val="00D8374F"/>
    <w:rsid w:val="00D91B2F"/>
    <w:rsid w:val="00D92154"/>
    <w:rsid w:val="00D92C72"/>
    <w:rsid w:val="00D941A9"/>
    <w:rsid w:val="00DB0A4B"/>
    <w:rsid w:val="00DB19ED"/>
    <w:rsid w:val="00DB257E"/>
    <w:rsid w:val="00DB2805"/>
    <w:rsid w:val="00DB506B"/>
    <w:rsid w:val="00DB6648"/>
    <w:rsid w:val="00DB7052"/>
    <w:rsid w:val="00DC180A"/>
    <w:rsid w:val="00DC2EB5"/>
    <w:rsid w:val="00DC3F20"/>
    <w:rsid w:val="00DC46B8"/>
    <w:rsid w:val="00DD3AE3"/>
    <w:rsid w:val="00DF37F9"/>
    <w:rsid w:val="00E00AAF"/>
    <w:rsid w:val="00E0198E"/>
    <w:rsid w:val="00E025D5"/>
    <w:rsid w:val="00E06880"/>
    <w:rsid w:val="00E11A3A"/>
    <w:rsid w:val="00E12738"/>
    <w:rsid w:val="00E147F6"/>
    <w:rsid w:val="00E1498C"/>
    <w:rsid w:val="00E23135"/>
    <w:rsid w:val="00E33F66"/>
    <w:rsid w:val="00E375C4"/>
    <w:rsid w:val="00E446B3"/>
    <w:rsid w:val="00E4604C"/>
    <w:rsid w:val="00E52ED1"/>
    <w:rsid w:val="00E5694B"/>
    <w:rsid w:val="00E56EA9"/>
    <w:rsid w:val="00E77925"/>
    <w:rsid w:val="00E81B60"/>
    <w:rsid w:val="00E85773"/>
    <w:rsid w:val="00E865AA"/>
    <w:rsid w:val="00E871E2"/>
    <w:rsid w:val="00E90B67"/>
    <w:rsid w:val="00E967A1"/>
    <w:rsid w:val="00EA7AD7"/>
    <w:rsid w:val="00EB029A"/>
    <w:rsid w:val="00EB45E7"/>
    <w:rsid w:val="00EB5EC1"/>
    <w:rsid w:val="00EB687D"/>
    <w:rsid w:val="00EC2A14"/>
    <w:rsid w:val="00EC71F2"/>
    <w:rsid w:val="00EC74E4"/>
    <w:rsid w:val="00EE1E3C"/>
    <w:rsid w:val="00EE3EDD"/>
    <w:rsid w:val="00EE57E3"/>
    <w:rsid w:val="00EF33EB"/>
    <w:rsid w:val="00EF49A1"/>
    <w:rsid w:val="00EF72E1"/>
    <w:rsid w:val="00EF7D51"/>
    <w:rsid w:val="00F02F97"/>
    <w:rsid w:val="00F03127"/>
    <w:rsid w:val="00F1141E"/>
    <w:rsid w:val="00F21D22"/>
    <w:rsid w:val="00F2210C"/>
    <w:rsid w:val="00F25C1D"/>
    <w:rsid w:val="00F331D9"/>
    <w:rsid w:val="00F33B6A"/>
    <w:rsid w:val="00F3478B"/>
    <w:rsid w:val="00F36D4C"/>
    <w:rsid w:val="00F37A73"/>
    <w:rsid w:val="00F46A5A"/>
    <w:rsid w:val="00F57390"/>
    <w:rsid w:val="00F6009B"/>
    <w:rsid w:val="00F61A08"/>
    <w:rsid w:val="00F856CD"/>
    <w:rsid w:val="00F86D7A"/>
    <w:rsid w:val="00F9784A"/>
    <w:rsid w:val="00F97E16"/>
    <w:rsid w:val="00FA0834"/>
    <w:rsid w:val="00FA0C72"/>
    <w:rsid w:val="00FA551A"/>
    <w:rsid w:val="00FB3AAD"/>
    <w:rsid w:val="00FB60B4"/>
    <w:rsid w:val="00FC450F"/>
    <w:rsid w:val="00FD7F65"/>
    <w:rsid w:val="00FE1216"/>
    <w:rsid w:val="00FE3E79"/>
    <w:rsid w:val="00FE53C5"/>
    <w:rsid w:val="00FE7D18"/>
    <w:rsid w:val="00FF161E"/>
    <w:rsid w:val="00FF2B9E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2"/>
    </o:shapelayout>
  </w:shapeDefaults>
  <w:decimalSymbol w:val="."/>
  <w:listSeparator w:val=","/>
  <w14:docId w14:val="44F091CD"/>
  <w15:chartTrackingRefBased/>
  <w15:docId w15:val="{7C884FA1-A549-4A91-8CC6-7708797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36"/>
  </w:style>
  <w:style w:type="paragraph" w:styleId="Heading1">
    <w:name w:val="heading 1"/>
    <w:basedOn w:val="Normal"/>
    <w:next w:val="Normal"/>
    <w:link w:val="Heading1Char"/>
    <w:uiPriority w:val="9"/>
    <w:qFormat/>
    <w:rsid w:val="00A32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18"/>
  </w:style>
  <w:style w:type="paragraph" w:styleId="Footer">
    <w:name w:val="footer"/>
    <w:basedOn w:val="Normal"/>
    <w:link w:val="Foot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18"/>
  </w:style>
  <w:style w:type="table" w:styleId="TableGrid">
    <w:name w:val="Table Grid"/>
    <w:basedOn w:val="TableNormal"/>
    <w:uiPriority w:val="39"/>
    <w:rsid w:val="004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43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6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uiPriority w:val="99"/>
    <w:semiHidden/>
    <w:unhideWhenUsed/>
    <w:rsid w:val="00D44D54"/>
    <w:pPr>
      <w:numPr>
        <w:numId w:val="2"/>
      </w:numPr>
    </w:pPr>
  </w:style>
  <w:style w:type="numbering" w:customStyle="1" w:styleId="1ai1">
    <w:name w:val="1 / a / i1"/>
    <w:basedOn w:val="NoList"/>
    <w:next w:val="1ai"/>
    <w:uiPriority w:val="97"/>
    <w:semiHidden/>
    <w:rsid w:val="00D44D54"/>
    <w:pPr>
      <w:numPr>
        <w:numId w:val="3"/>
      </w:numPr>
    </w:pPr>
  </w:style>
  <w:style w:type="paragraph" w:customStyle="1" w:styleId="Default">
    <w:name w:val="Default"/>
    <w:rsid w:val="00BA312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0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0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0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5FE0"/>
    <w:rPr>
      <w:color w:val="0563C1" w:themeColor="hyperlink"/>
      <w:u w:val="single"/>
    </w:rPr>
  </w:style>
  <w:style w:type="character" w:customStyle="1" w:styleId="ListParagraphChar">
    <w:name w:val="List Paragraph Char"/>
    <w:aliases w:val="L Char,List Paragraph1 Char,List Paragraph11 Char,Recommendation Char"/>
    <w:basedOn w:val="DefaultParagraphFont"/>
    <w:link w:val="ListParagraph"/>
    <w:uiPriority w:val="34"/>
    <w:locked/>
    <w:rsid w:val="00480636"/>
  </w:style>
  <w:style w:type="character" w:customStyle="1" w:styleId="Heading1Char">
    <w:name w:val="Heading 1 Char"/>
    <w:basedOn w:val="DefaultParagraphFont"/>
    <w:link w:val="Heading1"/>
    <w:uiPriority w:val="9"/>
    <w:rsid w:val="00A32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E5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workaustralia.gov.au/law-and-regulation/whs-regulators-and-workers-compensation-authorities-contact-inform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hs@anu.edu.au" TargetMode="External"/><Relationship Id="rId17" Type="http://schemas.openxmlformats.org/officeDocument/2006/relationships/hyperlink" Target="https://www.comcare.gov.au/about/forms-pubs/docs/pubs/safety/risk-management-snapsho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care.gov.au/about/forms-pubs/docs/pubs/safety/contractor-management-guidance-for-pcbu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F2023C0037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feworkaustralia.gov.au/law-and-regulati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ndards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6614-15CE-4119-AD23-BFB7D8B2718D}"/>
</file>

<file path=customXml/itemProps2.xml><?xml version="1.0" encoding="utf-8"?>
<ds:datastoreItem xmlns:ds="http://schemas.openxmlformats.org/officeDocument/2006/customXml" ds:itemID="{67A7E654-0442-4E26-8A7E-988808E38887}">
  <ds:schemaRefs>
    <ds:schemaRef ds:uri="http://schemas.microsoft.com/office/2006/metadata/properties"/>
    <ds:schemaRef ds:uri="http://schemas.microsoft.com/office/infopath/2007/PartnerControls"/>
    <ds:schemaRef ds:uri="2a5dc32d-bb18-4850-8846-e63359c60967"/>
  </ds:schemaRefs>
</ds:datastoreItem>
</file>

<file path=customXml/itemProps3.xml><?xml version="1.0" encoding="utf-8"?>
<ds:datastoreItem xmlns:ds="http://schemas.openxmlformats.org/officeDocument/2006/customXml" ds:itemID="{E9FAB8F8-8798-4432-BB85-B0B19C5BD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8117C-5B03-4ECA-8791-27D8F95D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Benjamin</dc:creator>
  <cp:keywords>[SEC=OFFICIAL]</cp:keywords>
  <dc:description/>
  <cp:lastModifiedBy>Mark Cunningham</cp:lastModifiedBy>
  <cp:revision>119</cp:revision>
  <dcterms:created xsi:type="dcterms:W3CDTF">2023-11-21T05:59:00Z</dcterms:created>
  <dcterms:modified xsi:type="dcterms:W3CDTF">2025-11-05T01:59:00Z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80EFD832519D082B7D58CD82039224A6EF2DE8C8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570292E2CB928950880759E39CBFFCD3953302DA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0DC681F8F3804EAE97176324FF409ADA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2023-06-23T02:16:12Z</vt:lpwstr>
  </property>
  <property fmtid="{D5CDD505-2E9C-101B-9397-08002B2CF9AE}" pid="19" name="PM_Hash_Version">
    <vt:lpwstr>2018.0</vt:lpwstr>
  </property>
  <property fmtid="{D5CDD505-2E9C-101B-9397-08002B2CF9AE}" pid="20" name="PM_Hash_Salt_Prev">
    <vt:lpwstr>1DE9A92357AD4B7E866D87E52C4C6B70</vt:lpwstr>
  </property>
  <property fmtid="{D5CDD505-2E9C-101B-9397-08002B2CF9AE}" pid="21" name="PM_Hash_Salt">
    <vt:lpwstr>0FB152571B120A8ECEE9B61B98004CB6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675AE175-BACA-5A91-B51E-EB0C8CDB55E5</vt:lpwstr>
  </property>
  <property fmtid="{D5CDD505-2E9C-101B-9397-08002B2CF9AE}" pid="26" name="PMUuidVer">
    <vt:lpwstr>2022.1</vt:lpwstr>
  </property>
  <property fmtid="{D5CDD505-2E9C-101B-9397-08002B2CF9AE}" pid="27" name="PM_OriginatorUserAccountName_SHA256">
    <vt:lpwstr>7F3C43E413908FD1AFD0C7235808016BCDBB1C4814AA1C7D9AEA0A8FD2B7ADAB</vt:lpwstr>
  </property>
  <property fmtid="{D5CDD505-2E9C-101B-9397-08002B2CF9AE}" pid="28" name="PM_OriginatorDomainName_SHA256">
    <vt:lpwstr>362000FBFC9E59C348224CEFBE3E6FEAAEE454EBA3CF75A1088146C08BDD6D7D</vt:lpwstr>
  </property>
  <property fmtid="{D5CDD505-2E9C-101B-9397-08002B2CF9AE}" pid="29" name="ContentTypeId">
    <vt:lpwstr>0x01010062A721C26CBA3E4B96F37DBC9DF52924</vt:lpwstr>
  </property>
</Properties>
</file>